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185FC" w14:textId="0CF7F133" w:rsidR="005356EF" w:rsidRPr="005C224F" w:rsidRDefault="005C224F" w:rsidP="005C224F">
      <w:pPr>
        <w:pStyle w:val="Title"/>
        <w:rPr>
          <w:rFonts w:asciiTheme="minorHAnsi" w:hAnsiTheme="minorHAnsi" w:cstheme="minorHAnsi"/>
          <w:sz w:val="24"/>
        </w:rPr>
      </w:pPr>
      <w:r w:rsidRPr="005C224F">
        <w:rPr>
          <w:rFonts w:asciiTheme="minorHAnsi" w:hAnsiTheme="minorHAnsi" w:cstheme="minorHAnsi"/>
          <w:sz w:val="24"/>
        </w:rPr>
        <w:t>Supplement</w:t>
      </w:r>
      <w:r w:rsidR="00F6787C">
        <w:rPr>
          <w:rFonts w:asciiTheme="minorHAnsi" w:hAnsiTheme="minorHAnsi" w:cstheme="minorHAnsi"/>
          <w:sz w:val="24"/>
        </w:rPr>
        <w:t>al</w:t>
      </w:r>
      <w:r w:rsidRPr="005C224F">
        <w:rPr>
          <w:rFonts w:asciiTheme="minorHAnsi" w:hAnsiTheme="minorHAnsi" w:cstheme="minorHAnsi"/>
          <w:sz w:val="24"/>
        </w:rPr>
        <w:t xml:space="preserve"> </w:t>
      </w:r>
      <w:r w:rsidR="00F6787C">
        <w:rPr>
          <w:rFonts w:asciiTheme="minorHAnsi" w:hAnsiTheme="minorHAnsi" w:cstheme="minorHAnsi"/>
          <w:sz w:val="24"/>
        </w:rPr>
        <w:t>Material</w:t>
      </w:r>
    </w:p>
    <w:p w14:paraId="10ADC45B" w14:textId="77777777" w:rsidR="007F3310" w:rsidRPr="000E12A7" w:rsidRDefault="007F3310" w:rsidP="007C446B">
      <w:pPr>
        <w:pStyle w:val="Heading1"/>
        <w:spacing w:line="480" w:lineRule="auto"/>
        <w:rPr>
          <w:rFonts w:asciiTheme="minorHAnsi" w:hAnsiTheme="minorHAnsi" w:cstheme="minorHAnsi"/>
          <w:sz w:val="22"/>
          <w:szCs w:val="22"/>
          <w:lang w:val="en-US"/>
        </w:rPr>
      </w:pPr>
      <w:r w:rsidRPr="000E12A7">
        <w:rPr>
          <w:rFonts w:asciiTheme="minorHAnsi" w:hAnsiTheme="minorHAnsi" w:cstheme="minorHAnsi"/>
          <w:sz w:val="22"/>
          <w:szCs w:val="22"/>
          <w:lang w:val="en-US"/>
        </w:rPr>
        <w:t>Methods</w:t>
      </w:r>
    </w:p>
    <w:p w14:paraId="7DE7346E" w14:textId="77777777" w:rsidR="00297558" w:rsidRDefault="00C910B1" w:rsidP="007C446B">
      <w:pPr>
        <w:pStyle w:val="Heading2"/>
        <w:spacing w:line="480" w:lineRule="auto"/>
        <w:rPr>
          <w:rFonts w:asciiTheme="minorHAnsi" w:hAnsiTheme="minorHAnsi" w:cstheme="minorHAnsi"/>
          <w:sz w:val="22"/>
          <w:szCs w:val="22"/>
        </w:rPr>
      </w:pPr>
      <w:r w:rsidRPr="000E12A7">
        <w:rPr>
          <w:rFonts w:asciiTheme="minorHAnsi" w:hAnsiTheme="minorHAnsi" w:cstheme="minorHAnsi"/>
          <w:sz w:val="22"/>
          <w:szCs w:val="22"/>
        </w:rPr>
        <w:t>Participant</w:t>
      </w:r>
      <w:r w:rsidR="00297558">
        <w:rPr>
          <w:rFonts w:asciiTheme="minorHAnsi" w:hAnsiTheme="minorHAnsi" w:cstheme="minorHAnsi"/>
          <w:sz w:val="22"/>
          <w:szCs w:val="22"/>
        </w:rPr>
        <w:t>s</w:t>
      </w:r>
    </w:p>
    <w:p w14:paraId="75528630" w14:textId="11609E50" w:rsidR="00C910B1" w:rsidRPr="00297558" w:rsidRDefault="00297558" w:rsidP="00297558">
      <w:pPr>
        <w:pStyle w:val="Heading3"/>
      </w:pPr>
      <w:r w:rsidRPr="00297558">
        <w:t>I</w:t>
      </w:r>
      <w:r w:rsidR="00C910B1" w:rsidRPr="00297558">
        <w:t>nclusion criteria</w:t>
      </w:r>
    </w:p>
    <w:p w14:paraId="712D79C7" w14:textId="1B3BF100" w:rsidR="00C910B1" w:rsidRPr="000E12A7" w:rsidRDefault="00C910B1" w:rsidP="00297558">
      <w:pPr>
        <w:spacing w:line="480" w:lineRule="auto"/>
        <w:jc w:val="both"/>
        <w:rPr>
          <w:rFonts w:cstheme="minorHAnsi"/>
          <w:lang w:val="en-US"/>
        </w:rPr>
      </w:pPr>
      <w:r w:rsidRPr="00297558">
        <w:rPr>
          <w:rFonts w:cstheme="minorHAnsi"/>
          <w:color w:val="000000"/>
        </w:rPr>
        <w:t>All participants</w:t>
      </w:r>
      <w:r w:rsidRPr="000E12A7">
        <w:rPr>
          <w:rFonts w:cstheme="minorHAnsi"/>
          <w:color w:val="000000"/>
        </w:rPr>
        <w:t xml:space="preserve"> were right-handed (as assessed by the Edinburgh scale</w:t>
      </w:r>
      <w:r w:rsidR="008F129B" w:rsidRPr="000E12A7">
        <w:rPr>
          <w:rFonts w:cstheme="minorHAnsi"/>
          <w:color w:val="000000"/>
        </w:rPr>
        <w:t>;</w:t>
      </w:r>
      <w:r w:rsidRPr="000E12A7">
        <w:rPr>
          <w:rFonts w:cstheme="minorHAnsi"/>
          <w:color w:val="000000"/>
        </w:rPr>
        <w:t xml:space="preserve"> </w:t>
      </w:r>
      <w:r w:rsidRPr="000E12A7">
        <w:rPr>
          <w:rFonts w:cstheme="minorHAnsi"/>
          <w:color w:val="000000"/>
        </w:rPr>
        <w:fldChar w:fldCharType="begin" w:fldLock="1"/>
      </w:r>
      <w:r w:rsidR="00494621">
        <w:rPr>
          <w:rFonts w:cstheme="minorHAnsi"/>
          <w:color w:val="000000"/>
        </w:rPr>
        <w:instrText>ADDIN CSL_CITATION {"citationItems":[{"id":"ITEM-1","itemData":{"ISSN":"0028-3932","PMID":"5146491","author":[{"dropping-particle":"","family":"Oldfield","given":"R C","non-dropping-particle":"","parse-names":false,"suffix":""}],"container-title":"Neuropsychologia","id":"ITEM-1","issue":"1","issued":{"date-parts":[["1971","3"]]},"page":"97-113","title":"The assessment and analysis of handedness: the Edinburgh inventory.","type":"article-journal","volume":"9"},"uris":["http://www.mendeley.com/documents/?uuid=ad352ee9-1b30-492b-abd3-a70278fa9607"]}],"mendeley":{"formattedCitation":"1","plainTextFormattedCitation":"1","previouslyFormattedCitation":"1"},"properties":{"noteIndex":0},"schema":"https://github.com/citation-style-language/schema/raw/master/csl-citation.json"}</w:instrText>
      </w:r>
      <w:r w:rsidRPr="000E12A7">
        <w:rPr>
          <w:rFonts w:cstheme="minorHAnsi"/>
          <w:color w:val="000000"/>
        </w:rPr>
        <w:fldChar w:fldCharType="separate"/>
      </w:r>
      <w:r w:rsidR="00672C02" w:rsidRPr="000E12A7">
        <w:rPr>
          <w:rFonts w:cstheme="minorHAnsi"/>
          <w:noProof/>
          <w:color w:val="000000"/>
        </w:rPr>
        <w:t>1</w:t>
      </w:r>
      <w:r w:rsidRPr="000E12A7">
        <w:rPr>
          <w:rFonts w:cstheme="minorHAnsi"/>
          <w:color w:val="000000"/>
        </w:rPr>
        <w:fldChar w:fldCharType="end"/>
      </w:r>
      <w:r w:rsidR="008F129B" w:rsidRPr="000E12A7">
        <w:rPr>
          <w:rFonts w:cstheme="minorHAnsi"/>
          <w:color w:val="000000"/>
        </w:rPr>
        <w:t>)</w:t>
      </w:r>
      <w:r w:rsidRPr="000E12A7">
        <w:rPr>
          <w:rFonts w:cstheme="minorHAnsi"/>
          <w:color w:val="000000"/>
        </w:rPr>
        <w:t xml:space="preserve">. Exclusion criteria included a lifetime history of </w:t>
      </w:r>
      <w:r w:rsidRPr="000E12A7">
        <w:rPr>
          <w:rFonts w:cstheme="minorHAnsi"/>
        </w:rPr>
        <w:t xml:space="preserve">severe neurological illnesses, </w:t>
      </w:r>
      <w:r w:rsidRPr="000E12A7">
        <w:rPr>
          <w:rFonts w:cstheme="minorHAnsi"/>
          <w:color w:val="000000"/>
        </w:rPr>
        <w:t xml:space="preserve">schizophrenia, and a history of alcohol or drug abuse or dependence within the past 6 months, use of painkillers within the last month, pregnancy and presence of counter-indications for MRI scanning (mainly </w:t>
      </w:r>
      <w:r w:rsidRPr="000E12A7">
        <w:rPr>
          <w:rFonts w:cstheme="minorHAnsi"/>
        </w:rPr>
        <w:t>metal in the body and claustrophobia)</w:t>
      </w:r>
      <w:r w:rsidRPr="000E12A7">
        <w:rPr>
          <w:rFonts w:cstheme="minorHAnsi"/>
          <w:color w:val="000000"/>
        </w:rPr>
        <w:t>.</w:t>
      </w:r>
    </w:p>
    <w:p w14:paraId="681E8FF9" w14:textId="77777777" w:rsidR="00494621" w:rsidRPr="008D7347" w:rsidRDefault="00494621" w:rsidP="00494621">
      <w:pPr>
        <w:spacing w:before="200" w:after="0" w:line="480" w:lineRule="auto"/>
        <w:outlineLvl w:val="2"/>
        <w:rPr>
          <w:rFonts w:ascii="Calibri" w:eastAsia="Times New Roman" w:hAnsi="Calibri" w:cs="Calibri"/>
          <w:b/>
          <w:bCs/>
          <w:lang w:eastAsia="en-GB"/>
        </w:rPr>
      </w:pPr>
      <w:r w:rsidRPr="008D7347">
        <w:rPr>
          <w:rFonts w:ascii="Calibri" w:eastAsia="Times New Roman" w:hAnsi="Calibri" w:cs="Calibri"/>
          <w:b/>
          <w:bCs/>
          <w:lang w:eastAsia="en-GB"/>
        </w:rPr>
        <w:t>Questionnaires</w:t>
      </w:r>
    </w:p>
    <w:p w14:paraId="77863A5D" w14:textId="3BD4EE30" w:rsidR="00494621" w:rsidRPr="008D7347" w:rsidRDefault="00494621" w:rsidP="00494621">
      <w:pPr>
        <w:spacing w:before="200" w:after="0" w:line="480" w:lineRule="auto"/>
        <w:outlineLvl w:val="3"/>
        <w:rPr>
          <w:rFonts w:ascii="Calibri" w:eastAsia="Times New Roman" w:hAnsi="Calibri" w:cs="Calibri"/>
          <w:b/>
          <w:bCs/>
          <w:i/>
          <w:iCs/>
          <w:lang w:eastAsia="en-GB"/>
        </w:rPr>
      </w:pPr>
      <w:r w:rsidRPr="008D7347">
        <w:rPr>
          <w:rFonts w:ascii="Calibri" w:eastAsia="Times New Roman" w:hAnsi="Calibri" w:cs="Calibri"/>
          <w:b/>
          <w:bCs/>
          <w:i/>
          <w:iCs/>
          <w:lang w:eastAsia="en-GB"/>
        </w:rPr>
        <w:t xml:space="preserve">BSL-23 </w:t>
      </w:r>
    </w:p>
    <w:p w14:paraId="737A0C1A" w14:textId="3FFA64B2" w:rsidR="00494621" w:rsidRDefault="00494621" w:rsidP="00494621">
      <w:pPr>
        <w:spacing w:beforeLines="1" w:before="2" w:afterLines="1" w:after="2" w:line="480" w:lineRule="auto"/>
        <w:jc w:val="both"/>
        <w:rPr>
          <w:rFonts w:ascii="Calibri" w:eastAsia="Times New Roman" w:hAnsi="Calibri" w:cs="Calibri"/>
          <w:color w:val="211E1E"/>
          <w:lang w:eastAsia="fr-FR"/>
        </w:rPr>
      </w:pPr>
      <w:r w:rsidRPr="008D7347">
        <w:rPr>
          <w:rFonts w:ascii="Calibri" w:eastAsia="Times New Roman" w:hAnsi="Calibri" w:cs="Calibri"/>
          <w:color w:val="211E1E"/>
          <w:lang w:eastAsia="fr-FR"/>
        </w:rPr>
        <w:t xml:space="preserve">The Borderline Symptom List short form (BSL-23),  French version </w:t>
      </w:r>
      <w:r>
        <w:rPr>
          <w:rFonts w:ascii="Calibri" w:eastAsia="Times New Roman" w:hAnsi="Calibri" w:cs="Calibri"/>
          <w:color w:val="211E1E"/>
          <w:lang w:eastAsia="fr-FR"/>
        </w:rPr>
        <w:t>(</w:t>
      </w:r>
      <w:r w:rsidRPr="008D7347">
        <w:rPr>
          <w:rFonts w:ascii="Calibri" w:eastAsia="Times New Roman" w:hAnsi="Calibri" w:cs="Calibri"/>
          <w:color w:val="211E1E"/>
          <w:lang w:eastAsia="fr-FR"/>
        </w:rPr>
        <w:fldChar w:fldCharType="begin" w:fldLock="1"/>
      </w:r>
      <w:r>
        <w:rPr>
          <w:rFonts w:ascii="Calibri" w:eastAsia="Times New Roman" w:hAnsi="Calibri" w:cs="Calibri"/>
          <w:color w:val="211E1E"/>
          <w:lang w:eastAsia="fr-FR"/>
        </w:rPr>
        <w:instrText>ADDIN CSL_CITATION {"citationItems":[{"id":"ITEM-1","itemData":{"DOI":"10.1186/s40479-016-0038-0","ISSN":"2051-6673","author":[{"dropping-particle":"","family":"Nicastro","given":"Rosetta","non-dropping-particle":"","parse-names":false,"suffix":""},{"dropping-particle":"","family":"Prada","given":"Paco","non-dropping-particle":"","parse-names":false,"suffix":""},{"dropping-particle":"","family":"Kung","given":"Anne-Lise","non-dropping-particle":"","parse-names":false,"suffix":""},{"dropping-particle":"","family":"Salamin","given":"Virginie","non-dropping-particle":"","parse-names":false,"suffix":""},{"dropping-particle":"","family":"Dayer","given":"Alexandre","non-dropping-particle":"","parse-names":false,"suffix":""},{"dropping-particle":"","family":"Aubry","given":"Jean-Michel","non-dropping-particle":"","parse-names":false,"suffix":""},{"dropping-particle":"","family":"Guenot","given":"Florence","non-dropping-particle":"","parse-names":false,"suffix":""},{"dropping-particle":"","family":"Perroud","given":"Nader","non-dropping-particle":"","parse-names":false,"suffix":""}],"container-title":"Borderline Personality Disorder and Emotion Dysregulation","id":"ITEM-1","issue":"1","issued":{"date-parts":[["2016"]]},"page":"4","publisher":"Borderline Personality Disorder and Emotion Dysregulation","title":"Psychometric properties of the French borderline symptom list, short form (BSL-23)","type":"article-journal","volume":"3"},"uris":["http://www.mendeley.com/documents/?uuid=c3582812-7ed4-4749-8ea4-192456ae682a"]}],"mendeley":{"formattedCitation":"2","plainTextFormattedCitation":"2","previouslyFormattedCitation":"2"},"properties":{"noteIndex":0},"schema":"https://github.com/citation-style-language/schema/raw/master/csl-citation.json"}</w:instrText>
      </w:r>
      <w:r w:rsidRPr="008D7347">
        <w:rPr>
          <w:rFonts w:ascii="Calibri" w:eastAsia="Times New Roman" w:hAnsi="Calibri" w:cs="Calibri"/>
          <w:color w:val="211E1E"/>
          <w:lang w:eastAsia="fr-FR"/>
        </w:rPr>
        <w:fldChar w:fldCharType="separate"/>
      </w:r>
      <w:r w:rsidRPr="00494621">
        <w:rPr>
          <w:rFonts w:ascii="Calibri" w:eastAsia="Times New Roman" w:hAnsi="Calibri" w:cs="Calibri"/>
          <w:noProof/>
          <w:color w:val="211E1E"/>
          <w:lang w:eastAsia="fr-FR"/>
        </w:rPr>
        <w:t>2</w:t>
      </w:r>
      <w:r w:rsidRPr="008D7347">
        <w:rPr>
          <w:rFonts w:ascii="Calibri" w:eastAsia="Times New Roman" w:hAnsi="Calibri" w:cs="Calibri"/>
          <w:color w:val="211E1E"/>
          <w:lang w:eastAsia="fr-FR"/>
        </w:rPr>
        <w:fldChar w:fldCharType="end"/>
      </w:r>
      <w:r>
        <w:rPr>
          <w:rFonts w:ascii="Calibri" w:eastAsia="Times New Roman" w:hAnsi="Calibri" w:cs="Calibri"/>
          <w:color w:val="211E1E"/>
          <w:lang w:eastAsia="fr-FR"/>
        </w:rPr>
        <w:t>)</w:t>
      </w:r>
      <w:r w:rsidRPr="008D7347">
        <w:rPr>
          <w:rFonts w:ascii="Calibri" w:eastAsia="Times New Roman" w:hAnsi="Calibri" w:cs="Calibri"/>
          <w:color w:val="211E1E"/>
          <w:lang w:eastAsia="fr-FR"/>
        </w:rPr>
        <w:t>, is a 23-item self-rated scale which quantitatively assess</w:t>
      </w:r>
      <w:r>
        <w:rPr>
          <w:rFonts w:ascii="Calibri" w:eastAsia="Times New Roman" w:hAnsi="Calibri" w:cs="Calibri"/>
          <w:color w:val="211E1E"/>
          <w:lang w:eastAsia="fr-FR"/>
        </w:rPr>
        <w:t>es</w:t>
      </w:r>
      <w:r w:rsidRPr="008D7347">
        <w:rPr>
          <w:rFonts w:ascii="Calibri" w:eastAsia="Times New Roman" w:hAnsi="Calibri" w:cs="Calibri"/>
          <w:color w:val="211E1E"/>
          <w:lang w:eastAsia="fr-FR"/>
        </w:rPr>
        <w:t xml:space="preserve"> symptoms of BPD, based on the DSM-IV </w:t>
      </w:r>
      <w:r w:rsidRPr="008D7347">
        <w:rPr>
          <w:rFonts w:ascii="Calibri" w:eastAsia="Times New Roman" w:hAnsi="Calibri" w:cs="Calibri"/>
          <w:color w:val="211E1E"/>
          <w:lang w:eastAsia="fr-FR"/>
        </w:rPr>
        <w:fldChar w:fldCharType="begin" w:fldLock="1"/>
      </w:r>
      <w:r>
        <w:rPr>
          <w:rFonts w:ascii="Calibri" w:eastAsia="Times New Roman" w:hAnsi="Calibri" w:cs="Calibri"/>
          <w:color w:val="211E1E"/>
          <w:lang w:eastAsia="fr-FR"/>
        </w:rPr>
        <w:instrText>ADDIN CSL_CITATION {"citationItems":[{"id":"ITEM-1","itemData":{"abstract":"Diagnostic and Statistical Manual of Mental Disorders 4th edition TR.","author":[{"dropping-particle":"","family":"American Psychiatric Association","given":"","non-dropping-particle":"","parse-names":false,"suffix":""}],"container-title":"Diagnostic and Statistical Manual of Mental Disorders. American Psychiatric Association. DSM-IV-TR.","id":"ITEM-1","issued":{"date-parts":[["2000"]]},"title":"DSM-IV-TR","type":"book"},"uris":["http://www.mendeley.com/documents/?uuid=4ac2f688-4b64-4584-9d4b-8f8449d644c9"]}],"mendeley":{"formattedCitation":"3","plainTextFormattedCitation":"3","previouslyFormattedCitation":"3"},"properties":{"noteIndex":0},"schema":"https://github.com/citation-style-language/schema/raw/master/csl-citation.json"}</w:instrText>
      </w:r>
      <w:r w:rsidRPr="008D7347">
        <w:rPr>
          <w:rFonts w:ascii="Calibri" w:eastAsia="Times New Roman" w:hAnsi="Calibri" w:cs="Calibri"/>
          <w:color w:val="211E1E"/>
          <w:lang w:eastAsia="fr-FR"/>
        </w:rPr>
        <w:fldChar w:fldCharType="separate"/>
      </w:r>
      <w:r w:rsidRPr="00494621">
        <w:rPr>
          <w:rFonts w:ascii="Calibri" w:eastAsia="Times New Roman" w:hAnsi="Calibri" w:cs="Calibri"/>
          <w:noProof/>
          <w:color w:val="211E1E"/>
          <w:lang w:eastAsia="fr-FR"/>
        </w:rPr>
        <w:t>3</w:t>
      </w:r>
      <w:r w:rsidRPr="008D7347">
        <w:rPr>
          <w:rFonts w:ascii="Calibri" w:eastAsia="Times New Roman" w:hAnsi="Calibri" w:cs="Calibri"/>
          <w:color w:val="211E1E"/>
          <w:lang w:eastAsia="fr-FR"/>
        </w:rPr>
        <w:fldChar w:fldCharType="end"/>
      </w:r>
      <w:r w:rsidRPr="008D7347">
        <w:rPr>
          <w:rFonts w:ascii="Calibri" w:eastAsia="Times New Roman" w:hAnsi="Calibri" w:cs="Calibri"/>
          <w:color w:val="211E1E"/>
          <w:lang w:eastAsia="fr-FR"/>
        </w:rPr>
        <w:t xml:space="preserve">. </w:t>
      </w:r>
      <w:r>
        <w:rPr>
          <w:rFonts w:ascii="Calibri" w:eastAsia="Times New Roman" w:hAnsi="Calibri" w:cs="Calibri"/>
          <w:color w:val="211E1E"/>
          <w:lang w:eastAsia="fr-FR"/>
        </w:rPr>
        <w:t>This</w:t>
      </w:r>
      <w:r w:rsidRPr="008D7347">
        <w:rPr>
          <w:rFonts w:ascii="Calibri" w:eastAsia="Times New Roman" w:hAnsi="Calibri" w:cs="Calibri"/>
          <w:color w:val="211E1E"/>
          <w:lang w:eastAsia="fr-FR"/>
        </w:rPr>
        <w:t xml:space="preserve"> is a unidimensional scale and </w:t>
      </w:r>
      <w:r>
        <w:rPr>
          <w:rFonts w:ascii="Calibri" w:eastAsia="Times New Roman" w:hAnsi="Calibri" w:cs="Calibri"/>
          <w:color w:val="211E1E"/>
          <w:lang w:eastAsia="fr-FR"/>
        </w:rPr>
        <w:t xml:space="preserve">items are </w:t>
      </w:r>
      <w:r w:rsidRPr="008D7347">
        <w:rPr>
          <w:rFonts w:ascii="Calibri" w:eastAsia="Times New Roman" w:hAnsi="Calibri" w:cs="Calibri"/>
          <w:color w:val="211E1E"/>
          <w:lang w:eastAsia="fr-FR"/>
        </w:rPr>
        <w:t xml:space="preserve">rated on a 5-point Likert scale from 0 (not at all) to 4 (very much). </w:t>
      </w:r>
    </w:p>
    <w:p w14:paraId="085133A1" w14:textId="06392091" w:rsidR="00494621" w:rsidRPr="008D7347" w:rsidRDefault="00494621" w:rsidP="00494621">
      <w:pPr>
        <w:spacing w:before="200" w:after="0" w:line="480" w:lineRule="auto"/>
        <w:outlineLvl w:val="3"/>
        <w:rPr>
          <w:rFonts w:ascii="Calibri" w:eastAsia="Times New Roman" w:hAnsi="Calibri" w:cs="Calibri"/>
          <w:b/>
          <w:bCs/>
          <w:i/>
          <w:iCs/>
          <w:lang w:eastAsia="en-GB"/>
        </w:rPr>
      </w:pPr>
      <w:r>
        <w:rPr>
          <w:rFonts w:ascii="Calibri" w:eastAsia="Times New Roman" w:hAnsi="Calibri" w:cs="Calibri"/>
          <w:b/>
          <w:bCs/>
          <w:i/>
          <w:iCs/>
          <w:lang w:eastAsia="en-GB"/>
        </w:rPr>
        <w:t>CTQ</w:t>
      </w:r>
    </w:p>
    <w:p w14:paraId="1A0A3563" w14:textId="2055E1C5" w:rsidR="00494621" w:rsidRDefault="00494621" w:rsidP="00494621">
      <w:pPr>
        <w:spacing w:beforeLines="1" w:before="2" w:afterLines="1" w:after="2" w:line="480" w:lineRule="auto"/>
        <w:jc w:val="both"/>
        <w:rPr>
          <w:color w:val="000000"/>
          <w:shd w:val="clear" w:color="auto" w:fill="FFFFFF"/>
        </w:rPr>
      </w:pPr>
      <w:r>
        <w:rPr>
          <w:rFonts w:cstheme="minorHAnsi"/>
          <w:color w:val="000000"/>
          <w:lang w:val="en-US"/>
        </w:rPr>
        <w:t xml:space="preserve">Childhood Trauma Questionnaire (CTQ; </w:t>
      </w:r>
      <w:r>
        <w:rPr>
          <w:rFonts w:cstheme="minorHAnsi"/>
          <w:color w:val="000000"/>
          <w:lang w:val="en-US"/>
        </w:rPr>
        <w:fldChar w:fldCharType="begin" w:fldLock="1"/>
      </w:r>
      <w:r>
        <w:rPr>
          <w:rFonts w:cstheme="minorHAnsi"/>
          <w:color w:val="000000"/>
          <w:lang w:val="en-US"/>
        </w:rPr>
        <w:instrText>ADDIN CSL_CITATION {"citationItems":[{"id":"ITEM-1","itemData":{"ISBN":"0002-953X (Print)\\r0002-953X (Linking)","ISSN":"0002-953X","PMID":"8037246","abstract":"OBJECTIVE: This report presents initial findings on the reliability and validity of a new retrospective measure of child abuse and neglect, the Childhood Trauma Questionnaire. METHOD: Two hundred eighty-six drug- or alcohol-dependent patients were given the Childhood Trauma Questionnaire as part of a larger test battery, and 40 of these patients were given the questionnaire again after an interval of 2 to 6 months. Sixty-eight of the patients were also given a structured interview for child abuse and neglect, the Childhood Trauma Interview, that was developed by the authors. RESULTS: Principal-components analysis of responses on the Childhood Trauma Questionnaire yielded four rotated orthogonal factors: physical and emotional abuse, emotional neglect, sexual abuse, and physical neglect. Cronbach's alpha for the factors ranged from 0.79 to 0.94, indicating high internal consistency. The Childhood Trauma Questionnaire also demonstrated good test-retest reliability over a 2- to 6-month interval (intraclass correlation = 0.88), as well as convergence with the Childhood Trauma Interview, indicating that patients' reports of child abuse and neglect based on the Childhood Trauma Questionnaire were highly stable, both over time and across type of instruments. CONCLUSIONS: These findings provide strong initial support for the reliability and validity of the Childhood Trauma Questionnaire.","author":[{"dropping-particle":"","family":"Bernstein","given":"D P","non-dropping-particle":"","parse-names":false,"suffix":""},{"dropping-particle":"","family":"Fink","given":"L","non-dropping-particle":"","parse-names":false,"suffix":""},{"dropping-particle":"","family":"Handelsman","given":"L","non-dropping-particle":"","parse-names":false,"suffix":""},{"dropping-particle":"","family":"Foote","given":"J","non-dropping-particle":"","parse-names":false,"suffix":""},{"dropping-particle":"","family":"Lovejoy","given":"M","non-dropping-particle":"","parse-names":false,"suffix":""},{"dropping-particle":"","family":"Wenzel","given":"K","non-dropping-particle":"","parse-names":false,"suffix":""},{"dropping-particle":"","family":"Sapareto","given":"E","non-dropping-particle":"","parse-names":false,"suffix":""},{"dropping-particle":"","family":"Ruggiero","given":"J","non-dropping-particle":"","parse-names":false,"suffix":""}],"container-title":"The American journal of psychiatry","id":"ITEM-1","issued":{"date-parts":[["1994"]]},"page":"1132-1136","title":"Initial reliability and validity of a new retrospective measure of child abuse and neglect.","type":"article-journal","volume":"151"},"uris":["http://www.mendeley.com/documents/?uuid=831a1638-268d-42c4-929b-4379fa4aaa74"]}],"mendeley":{"formattedCitation":"4","plainTextFormattedCitation":"4","previouslyFormattedCitation":"4"},"properties":{"noteIndex":0},"schema":"https://github.com/citation-style-language/schema/raw/master/csl-citation.json"}</w:instrText>
      </w:r>
      <w:r>
        <w:rPr>
          <w:rFonts w:cstheme="minorHAnsi"/>
          <w:color w:val="000000"/>
          <w:lang w:val="en-US"/>
        </w:rPr>
        <w:fldChar w:fldCharType="separate"/>
      </w:r>
      <w:r w:rsidRPr="00494621">
        <w:rPr>
          <w:rFonts w:cstheme="minorHAnsi"/>
          <w:noProof/>
          <w:color w:val="000000"/>
          <w:lang w:val="en-US"/>
        </w:rPr>
        <w:t>4</w:t>
      </w:r>
      <w:r>
        <w:rPr>
          <w:rFonts w:cstheme="minorHAnsi"/>
          <w:color w:val="000000"/>
          <w:lang w:val="en-US"/>
        </w:rPr>
        <w:fldChar w:fldCharType="end"/>
      </w:r>
      <w:r>
        <w:rPr>
          <w:rFonts w:cstheme="minorHAnsi"/>
          <w:color w:val="000000"/>
          <w:lang w:val="en-US"/>
        </w:rPr>
        <w:t xml:space="preserve">) French version, is a 28-item self-rated scale which quantifies degree of childhood trauma in the home. It consists of 5 subscales: </w:t>
      </w:r>
      <w:r>
        <w:rPr>
          <w:color w:val="000000"/>
          <w:shd w:val="clear" w:color="auto" w:fill="FFFFFF"/>
        </w:rPr>
        <w:t>emotional abuse, physical abuse, sexual abuse, emotional neglect, and physical neglect. Responses are measured on a 5-point Likert scale (1 = never true, 2 = rarely true, 3 = sometimes true, 4 = often true, 5 = very often true). Each subscale is represented by five questions with a score range from 5 to 25.</w:t>
      </w:r>
    </w:p>
    <w:p w14:paraId="6E9BFCFF" w14:textId="198522DD" w:rsidR="00B314DA" w:rsidRPr="008D7347" w:rsidRDefault="00B314DA" w:rsidP="00B314DA">
      <w:pPr>
        <w:spacing w:before="200" w:after="0" w:line="480" w:lineRule="auto"/>
        <w:outlineLvl w:val="3"/>
        <w:rPr>
          <w:rFonts w:ascii="Calibri" w:eastAsia="Times New Roman" w:hAnsi="Calibri" w:cs="Calibri"/>
          <w:b/>
          <w:bCs/>
          <w:i/>
          <w:iCs/>
          <w:lang w:eastAsia="en-GB"/>
        </w:rPr>
      </w:pPr>
      <w:r>
        <w:rPr>
          <w:rFonts w:ascii="Calibri" w:eastAsia="Times New Roman" w:hAnsi="Calibri" w:cs="Calibri"/>
          <w:b/>
          <w:bCs/>
          <w:i/>
          <w:iCs/>
          <w:lang w:eastAsia="en-GB"/>
        </w:rPr>
        <w:t>BDI-II short version</w:t>
      </w:r>
    </w:p>
    <w:p w14:paraId="19C31284" w14:textId="35487593" w:rsidR="00494621" w:rsidRDefault="00B314DA" w:rsidP="00494621">
      <w:pPr>
        <w:spacing w:beforeLines="1" w:before="2" w:afterLines="1" w:after="2" w:line="480" w:lineRule="auto"/>
        <w:jc w:val="both"/>
        <w:rPr>
          <w:color w:val="000000"/>
          <w:shd w:val="clear" w:color="auto" w:fill="FFFFFF"/>
        </w:rPr>
      </w:pPr>
      <w:r w:rsidRPr="00B314DA">
        <w:rPr>
          <w:color w:val="000000"/>
          <w:shd w:val="clear" w:color="auto" w:fill="FFFFFF"/>
        </w:rPr>
        <w:t xml:space="preserve">The </w:t>
      </w:r>
      <w:r>
        <w:rPr>
          <w:color w:val="000000"/>
          <w:shd w:val="clear" w:color="auto" w:fill="FFFFFF"/>
        </w:rPr>
        <w:t xml:space="preserve">Beck Depression Inventory (BDI; </w:t>
      </w:r>
      <w:r w:rsidRPr="00516C8B">
        <w:rPr>
          <w:rFonts w:cstheme="minorHAnsi"/>
          <w:color w:val="000000"/>
          <w:lang w:val="en-US"/>
        </w:rPr>
        <w:fldChar w:fldCharType="begin" w:fldLock="1"/>
      </w:r>
      <w:r>
        <w:rPr>
          <w:rFonts w:cstheme="minorHAnsi"/>
          <w:color w:val="000000"/>
          <w:lang w:val="en-US"/>
        </w:rPr>
        <w:instrText>ADDIN CSL_CITATION {"citationItems":[{"id":"ITEM-1","itemData":{"DOI":"10.1001/archpsyc.1961.01710120031004","ISSN":"0003-990X","PMID":"13688369","author":[{"dropping-particle":"","family":"Beck","given":"A T","non-dropping-particle":"","parse-names":false,"suffix":""},{"dropping-particle":"","family":"Ward","given":"CH","non-dropping-particle":"","parse-names":false,"suffix":""},{"dropping-particle":"","family":"Mendelson","given":"M","non-dropping-particle":"","parse-names":false,"suffix":""},{"dropping-particle":"","family":"Mock","given":"J","non-dropping-particle":"","parse-names":false,"suffix":""},{"dropping-particle":"","family":"Erbaugh","given":"J","non-dropping-particle":"","parse-names":false,"suffix":""}],"container-title":"Archives of general psychiatry","id":"ITEM-1","issued":{"date-parts":[["1961","6"]]},"page":"561-71","title":"An inventory for measuring depression.","type":"article-journal","volume":"4"},"uris":["http://www.mendeley.com/documents/?uuid=5491178c-cfd6-409a-8dfc-a982c21bae6c"]}],"mendeley":{"formattedCitation":"5","plainTextFormattedCitation":"5","previouslyFormattedCitation":"5"},"properties":{"noteIndex":0},"schema":"https://github.com/citation-style-language/schema/raw/master/csl-citation.json"}</w:instrText>
      </w:r>
      <w:r w:rsidRPr="00516C8B">
        <w:rPr>
          <w:rFonts w:cstheme="minorHAnsi"/>
          <w:color w:val="000000"/>
          <w:lang w:val="en-US"/>
        </w:rPr>
        <w:fldChar w:fldCharType="separate"/>
      </w:r>
      <w:r w:rsidRPr="00B314DA">
        <w:rPr>
          <w:rFonts w:cstheme="minorHAnsi"/>
          <w:noProof/>
          <w:color w:val="000000"/>
          <w:lang w:val="en-US"/>
        </w:rPr>
        <w:t>5</w:t>
      </w:r>
      <w:r w:rsidRPr="00516C8B">
        <w:rPr>
          <w:rFonts w:cstheme="minorHAnsi"/>
          <w:color w:val="000000"/>
          <w:lang w:val="en-US"/>
        </w:rPr>
        <w:fldChar w:fldCharType="end"/>
      </w:r>
      <w:r>
        <w:rPr>
          <w:rFonts w:cstheme="minorHAnsi"/>
          <w:color w:val="000000"/>
          <w:lang w:val="en-US"/>
        </w:rPr>
        <w:t xml:space="preserve">) </w:t>
      </w:r>
      <w:r>
        <w:rPr>
          <w:color w:val="000000"/>
          <w:shd w:val="clear" w:color="auto" w:fill="FFFFFF"/>
        </w:rPr>
        <w:t xml:space="preserve">used </w:t>
      </w:r>
      <w:r w:rsidRPr="00B314DA">
        <w:rPr>
          <w:color w:val="000000"/>
          <w:shd w:val="clear" w:color="auto" w:fill="FFFFFF"/>
        </w:rPr>
        <w:t>contains 13 self-rated items on a scale of 0–3 to give score of 0–39.</w:t>
      </w:r>
    </w:p>
    <w:p w14:paraId="3AA08C3F" w14:textId="739315FF" w:rsidR="00B314DA" w:rsidRDefault="00B314DA" w:rsidP="00494621">
      <w:pPr>
        <w:spacing w:beforeLines="1" w:before="2" w:afterLines="1" w:after="2" w:line="480" w:lineRule="auto"/>
        <w:jc w:val="both"/>
        <w:rPr>
          <w:rFonts w:ascii="Calibri" w:eastAsia="Times New Roman" w:hAnsi="Calibri" w:cs="Calibri"/>
          <w:lang w:val="en-CA" w:eastAsia="fr-FR"/>
        </w:rPr>
      </w:pPr>
      <w:r w:rsidRPr="00B314DA">
        <w:rPr>
          <w:rFonts w:ascii="Calibri" w:eastAsia="Times New Roman" w:hAnsi="Calibri" w:cs="Calibri"/>
          <w:b/>
          <w:bCs/>
          <w:i/>
          <w:iCs/>
          <w:lang w:eastAsia="en-GB"/>
        </w:rPr>
        <w:t>MADRS</w:t>
      </w:r>
    </w:p>
    <w:p w14:paraId="794808F6" w14:textId="361ACBA7" w:rsidR="00494621" w:rsidRPr="008D7347" w:rsidRDefault="00494621" w:rsidP="00494621">
      <w:pPr>
        <w:spacing w:beforeLines="1" w:before="2" w:afterLines="1" w:after="2" w:line="480" w:lineRule="auto"/>
        <w:jc w:val="both"/>
        <w:rPr>
          <w:rFonts w:ascii="Calibri" w:eastAsia="Times New Roman" w:hAnsi="Calibri" w:cs="Calibri"/>
          <w:lang w:val="en-CA" w:eastAsia="fr-FR"/>
        </w:rPr>
      </w:pPr>
      <w:r w:rsidRPr="00494621">
        <w:rPr>
          <w:rFonts w:ascii="Calibri" w:eastAsia="Times New Roman" w:hAnsi="Calibri" w:cs="Calibri"/>
          <w:lang w:val="en-CA" w:eastAsia="fr-FR"/>
        </w:rPr>
        <w:lastRenderedPageBreak/>
        <w:t xml:space="preserve">The </w:t>
      </w:r>
      <w:r w:rsidR="00B314DA" w:rsidRPr="00516C8B">
        <w:rPr>
          <w:rFonts w:cstheme="minorHAnsi"/>
          <w:color w:val="000000"/>
          <w:lang w:val="en-US"/>
        </w:rPr>
        <w:t xml:space="preserve">Montgomery and </w:t>
      </w:r>
      <w:proofErr w:type="spellStart"/>
      <w:r w:rsidR="00B314DA" w:rsidRPr="00516C8B">
        <w:rPr>
          <w:rFonts w:cstheme="minorHAnsi"/>
          <w:color w:val="000000"/>
          <w:lang w:val="en-US"/>
        </w:rPr>
        <w:t>Asberg</w:t>
      </w:r>
      <w:proofErr w:type="spellEnd"/>
      <w:r w:rsidR="00B314DA" w:rsidRPr="00516C8B">
        <w:rPr>
          <w:rFonts w:cstheme="minorHAnsi"/>
          <w:color w:val="000000"/>
          <w:lang w:val="en-US"/>
        </w:rPr>
        <w:t xml:space="preserve"> Depression Rating Scale (MADRS; </w:t>
      </w:r>
      <w:r w:rsidR="00B314DA" w:rsidRPr="00516C8B">
        <w:rPr>
          <w:rFonts w:cstheme="minorHAnsi"/>
          <w:color w:val="000000"/>
          <w:lang w:val="en-US"/>
        </w:rPr>
        <w:fldChar w:fldCharType="begin" w:fldLock="1"/>
      </w:r>
      <w:r w:rsidR="00B314DA">
        <w:rPr>
          <w:rFonts w:cstheme="minorHAnsi"/>
          <w:color w:val="000000"/>
          <w:lang w:val="en-US"/>
        </w:rPr>
        <w:instrText>ADDIN CSL_CITATION {"citationItems":[{"id":"ITEM-1","itemData":{"ISSN":"0007-1250","PMID":"444788","abstract":"The construction of a depression rating scale designed to be particularly sensitive to treatment effects is described. Ratings of 54 English and 52 Swedish patients on a 65 item comprehensive psychopathology scale were used to identify the 17 most commonly occurring symptoms in primary depressive illness in the combined sample. Ratings on these 17 items for 64 patients participating in studies of four different antidepressant drugs were used to create a depression scale consisting of the 10 items which showed the largest changes with treatment and the highest correlation to overall change. The inner-rater reliability of the new depression scale was high. Scores on the scale correlated significantly with scores on a standard rating scale for depression, the Hamilton Rating Scale (HRS), indicating its validity as a general severity estimate. Its capacity to differentiate between responders and non-responders to antidepressant treatment was better than the HRS, indicating greater sensitivity to change. The practical and ethical implications in terms of smaller sample sizes in clinical trials are discussed.","author":[{"dropping-particle":"","family":"Montgomery","given":"S A","non-dropping-particle":"","parse-names":false,"suffix":""},{"dropping-particle":"","family":"Asberg","given":"M","non-dropping-particle":"","parse-names":false,"suffix":""}],"container-title":"The British journal of psychiatry : the journal of mental science","id":"ITEM-1","issued":{"date-parts":[["1979","4"]]},"page":"382-9","title":"A new depression scale designed to be sensitive to change.","type":"article-journal","volume":"134"},"uris":["http://www.mendeley.com/documents/?uuid=5cd2a302-e6a1-4e3a-bc3e-b9948f06e21d"]}],"mendeley":{"formattedCitation":"6","plainTextFormattedCitation":"6","previouslyFormattedCitation":"23"},"properties":{"noteIndex":0},"schema":"https://github.com/citation-style-language/schema/raw/master/csl-citation.json"}</w:instrText>
      </w:r>
      <w:r w:rsidR="00B314DA" w:rsidRPr="00516C8B">
        <w:rPr>
          <w:rFonts w:cstheme="minorHAnsi"/>
          <w:color w:val="000000"/>
          <w:lang w:val="en-US"/>
        </w:rPr>
        <w:fldChar w:fldCharType="separate"/>
      </w:r>
      <w:r w:rsidR="00B314DA" w:rsidRPr="00B314DA">
        <w:rPr>
          <w:rFonts w:cstheme="minorHAnsi"/>
          <w:noProof/>
          <w:color w:val="000000"/>
          <w:lang w:val="en-US"/>
        </w:rPr>
        <w:t>6</w:t>
      </w:r>
      <w:r w:rsidR="00B314DA" w:rsidRPr="00516C8B">
        <w:rPr>
          <w:rFonts w:cstheme="minorHAnsi"/>
          <w:color w:val="000000"/>
          <w:lang w:val="en-US"/>
        </w:rPr>
        <w:fldChar w:fldCharType="end"/>
      </w:r>
      <w:r w:rsidR="00B314DA" w:rsidRPr="00516C8B">
        <w:rPr>
          <w:rFonts w:cstheme="minorHAnsi"/>
          <w:color w:val="000000"/>
          <w:lang w:val="en-US"/>
        </w:rPr>
        <w:t xml:space="preserve">) </w:t>
      </w:r>
      <w:r w:rsidRPr="00494621">
        <w:rPr>
          <w:rFonts w:ascii="Calibri" w:eastAsia="Times New Roman" w:hAnsi="Calibri" w:cs="Calibri"/>
          <w:lang w:val="en-CA" w:eastAsia="fr-FR"/>
        </w:rPr>
        <w:t>contains 10 items rated on a scale of 0–6 with anchors at two-point intervals to give a score of 0–60. It is based on observation of the patient as well as an interview.</w:t>
      </w:r>
    </w:p>
    <w:p w14:paraId="4954859A" w14:textId="77777777" w:rsidR="00297558" w:rsidRDefault="00297558" w:rsidP="00297558">
      <w:pPr>
        <w:pStyle w:val="Heading2"/>
        <w:spacing w:line="480" w:lineRule="auto"/>
        <w:rPr>
          <w:rFonts w:asciiTheme="minorHAnsi" w:hAnsiTheme="minorHAnsi" w:cstheme="minorHAnsi"/>
          <w:sz w:val="22"/>
          <w:szCs w:val="22"/>
        </w:rPr>
      </w:pPr>
      <w:r w:rsidRPr="00986154">
        <w:rPr>
          <w:rFonts w:asciiTheme="minorHAnsi" w:hAnsiTheme="minorHAnsi" w:cstheme="minorHAnsi"/>
          <w:sz w:val="22"/>
          <w:szCs w:val="22"/>
        </w:rPr>
        <w:t>MRI data acquisition and analysis</w:t>
      </w:r>
    </w:p>
    <w:p w14:paraId="6580F0A1" w14:textId="77777777" w:rsidR="007F3310" w:rsidRPr="00986154" w:rsidRDefault="007F3310" w:rsidP="00297558">
      <w:pPr>
        <w:pStyle w:val="Heading3"/>
      </w:pPr>
      <w:r w:rsidRPr="00986154">
        <w:t>ART repair</w:t>
      </w:r>
    </w:p>
    <w:p w14:paraId="39C1EF53" w14:textId="1552460F" w:rsidR="00415554" w:rsidRPr="001E4F5C" w:rsidRDefault="007F3310" w:rsidP="007A6AFF">
      <w:pPr>
        <w:spacing w:line="480" w:lineRule="auto"/>
        <w:jc w:val="both"/>
        <w:rPr>
          <w:rFonts w:cstheme="minorHAnsi"/>
          <w:lang w:eastAsia="en-CA"/>
        </w:rPr>
      </w:pPr>
      <w:r w:rsidRPr="000E12A7">
        <w:rPr>
          <w:rFonts w:cstheme="minorHAnsi"/>
          <w:lang w:eastAsia="en-CA"/>
        </w:rPr>
        <w:t>To account for residual movement artefacts after realignment, Artefact Detection Toolbox (ART; http://web.mit.edu/swg/software.htm) was used. Specifically, an image was defined as an outlier (artefact) image if the head displacement was greater than 0.2 mm in the x, y, or z direction, if the rotational displacement was greater than 0.02 radians, from the previous image, or if the global mean i</w:t>
      </w:r>
      <w:r w:rsidRPr="008C3404">
        <w:rPr>
          <w:rFonts w:cstheme="minorHAnsi"/>
          <w:lang w:eastAsia="en-CA"/>
        </w:rPr>
        <w:t>ntensity in the image was greater than 9 standard deviations from the mean image intensity for the entire scan. Any image that was identified as an outlier was entered into the SPM model as a regressor of no interest. No participant had more than 5% of tot</w:t>
      </w:r>
      <w:r w:rsidRPr="00986154">
        <w:rPr>
          <w:rFonts w:cstheme="minorHAnsi"/>
          <w:lang w:eastAsia="en-CA"/>
        </w:rPr>
        <w:t>al outlier scans.</w:t>
      </w:r>
    </w:p>
    <w:p w14:paraId="45E41DA6" w14:textId="77777777" w:rsidR="006106EA" w:rsidRPr="00E55321" w:rsidRDefault="006106EA" w:rsidP="007C446B">
      <w:pPr>
        <w:pStyle w:val="Heading2"/>
        <w:spacing w:line="480" w:lineRule="auto"/>
        <w:rPr>
          <w:rFonts w:asciiTheme="minorHAnsi" w:hAnsiTheme="minorHAnsi" w:cstheme="majorHAnsi"/>
          <w:sz w:val="22"/>
          <w:szCs w:val="22"/>
          <w:lang w:val="en-US" w:eastAsia="fr-FR"/>
        </w:rPr>
      </w:pPr>
      <w:r w:rsidRPr="00E55321">
        <w:rPr>
          <w:rFonts w:asciiTheme="minorHAnsi" w:hAnsiTheme="minorHAnsi" w:cstheme="majorHAnsi"/>
          <w:sz w:val="22"/>
          <w:szCs w:val="22"/>
          <w:lang w:val="en-US" w:eastAsia="fr-FR"/>
        </w:rPr>
        <w:t>Medication load</w:t>
      </w:r>
    </w:p>
    <w:p w14:paraId="0EEB2030" w14:textId="1A96A271" w:rsidR="00D237A9" w:rsidRPr="00421946" w:rsidRDefault="00123E73" w:rsidP="00421946">
      <w:pPr>
        <w:spacing w:line="480" w:lineRule="auto"/>
        <w:jc w:val="both"/>
        <w:rPr>
          <w:rFonts w:ascii="Calibri" w:eastAsia="Times New Roman" w:hAnsi="Calibri" w:cs="Calibri"/>
          <w:lang w:eastAsia="fr-FR"/>
        </w:rPr>
      </w:pPr>
      <w:r w:rsidRPr="008D7347">
        <w:rPr>
          <w:rFonts w:ascii="Calibri" w:eastAsia="Times New Roman" w:hAnsi="Calibri" w:cs="Calibri"/>
          <w:lang w:eastAsia="fr-FR"/>
        </w:rPr>
        <w:t>We computed a</w:t>
      </w:r>
      <w:r>
        <w:rPr>
          <w:rFonts w:ascii="Calibri" w:eastAsia="Times New Roman" w:hAnsi="Calibri" w:cs="Calibri"/>
          <w:lang w:eastAsia="fr-FR"/>
        </w:rPr>
        <w:t xml:space="preserve">n </w:t>
      </w:r>
      <w:r w:rsidRPr="008D7347">
        <w:rPr>
          <w:rFonts w:ascii="Calibri" w:eastAsia="Times New Roman" w:hAnsi="Calibri" w:cs="Calibri"/>
          <w:lang w:eastAsia="fr-FR"/>
        </w:rPr>
        <w:t>index of medication load for each BPD participant based on the summation of the different dosages of each medication. To do so, we first coded the dosage as absent (0), low (1) or high (2) for each medication separately. For antidepressants</w:t>
      </w:r>
      <w:r>
        <w:rPr>
          <w:rFonts w:ascii="Calibri" w:eastAsia="Times New Roman" w:hAnsi="Calibri" w:cs="Calibri"/>
          <w:lang w:eastAsia="fr-FR"/>
        </w:rPr>
        <w:t>,</w:t>
      </w:r>
      <w:r w:rsidRPr="008D7347">
        <w:rPr>
          <w:rFonts w:ascii="Calibri" w:eastAsia="Times New Roman" w:hAnsi="Calibri" w:cs="Calibri"/>
          <w:lang w:eastAsia="fr-FR"/>
        </w:rPr>
        <w:t xml:space="preserve"> we used a previously employed approach </w:t>
      </w:r>
      <w:r>
        <w:rPr>
          <w:rFonts w:ascii="Calibri" w:eastAsia="Times New Roman" w:hAnsi="Calibri" w:cs="Calibri"/>
          <w:lang w:eastAsia="fr-FR"/>
        </w:rPr>
        <w:t>(</w:t>
      </w:r>
      <w:r w:rsidRPr="008D7347">
        <w:rPr>
          <w:rFonts w:ascii="Calibri" w:eastAsia="Times New Roman" w:hAnsi="Calibri" w:cs="Calibri"/>
          <w:lang w:eastAsia="fr-FR"/>
        </w:rPr>
        <w:fldChar w:fldCharType="begin" w:fldLock="1"/>
      </w:r>
      <w:r w:rsidR="00B314DA">
        <w:rPr>
          <w:rFonts w:ascii="Calibri" w:eastAsia="Times New Roman" w:hAnsi="Calibri" w:cs="Calibri"/>
          <w:lang w:eastAsia="fr-FR"/>
        </w:rPr>
        <w:instrText>ADDIN CSL_CITATION {"citationItems":[{"id":"ITEM-1","itemData":{"ISSN":"0160-6689","PMID":"11480879","abstract":"Most patients treated for an episode of unipolar or bipolar major depression are treatment resistant in the sense that the majority do not achieve full remission with the first somatic or psychosocial treatment they receive. Little attention has been given to formalizing criteria for evaluating the nature and extent of treatment resistance, even though determining the adequacy and outcome of prior treatment trials is key in clinical decision making about subsequent treatment. Furthermore, determining the adequacy of prior treatment is essential since substantial evidence indicates that large numbers of depressed patients are undertreated, resulting in prolonged episodes and the appearance of \"pseudoresistance.\" Adequacy of antidepressant treatment trials should be defined in terms of thresholds for the dosage and duration of medication, adherence, and clinical outcome. The Antidepressant Treatment History Form is presented as one method to formalize the evaluation of treatment adequacy and treatment resistance.","author":[{"dropping-particle":"","family":"Sackeim","given":"H A","non-dropping-particle":"","parse-names":false,"suffix":""}],"container-title":"The Journal of clinical psychiatry","id":"ITEM-1","issued":{"date-parts":[["2001"]]},"page":"10-7","title":"The definition and meaning of treatment-resistant depression.","type":"article-journal","volume":"62 Suppl 1"},"uris":["http://www.mendeley.com/documents/?uuid=506233dc-d61d-456b-a969-eb2e04126cd2"]}],"mendeley":{"formattedCitation":"7","plainTextFormattedCitation":"7","previouslyFormattedCitation":"6"},"properties":{"noteIndex":0},"schema":"https://github.com/citation-style-language/schema/raw/master/csl-citation.json"}</w:instrText>
      </w:r>
      <w:r w:rsidRPr="008D7347">
        <w:rPr>
          <w:rFonts w:ascii="Calibri" w:eastAsia="Times New Roman" w:hAnsi="Calibri" w:cs="Calibri"/>
          <w:lang w:eastAsia="fr-FR"/>
        </w:rPr>
        <w:fldChar w:fldCharType="separate"/>
      </w:r>
      <w:r w:rsidR="00B314DA" w:rsidRPr="00B314DA">
        <w:rPr>
          <w:rFonts w:ascii="Calibri" w:eastAsia="Times New Roman" w:hAnsi="Calibri" w:cs="Calibri"/>
          <w:noProof/>
          <w:lang w:eastAsia="fr-FR"/>
        </w:rPr>
        <w:t>7</w:t>
      </w:r>
      <w:r w:rsidRPr="008D7347">
        <w:rPr>
          <w:rFonts w:ascii="Calibri" w:eastAsia="Times New Roman" w:hAnsi="Calibri" w:cs="Calibri"/>
          <w:lang w:eastAsia="fr-FR"/>
        </w:rPr>
        <w:fldChar w:fldCharType="end"/>
      </w:r>
      <w:r>
        <w:rPr>
          <w:rFonts w:ascii="Calibri" w:eastAsia="Times New Roman" w:hAnsi="Calibri" w:cs="Calibri"/>
          <w:lang w:eastAsia="fr-FR"/>
        </w:rPr>
        <w:t>)</w:t>
      </w:r>
      <w:r w:rsidRPr="008D7347">
        <w:rPr>
          <w:rFonts w:ascii="Calibri" w:eastAsia="Times New Roman" w:hAnsi="Calibri" w:cs="Calibri"/>
          <w:lang w:eastAsia="fr-FR"/>
        </w:rPr>
        <w:t xml:space="preserve"> that differentiates between 4 levels of dosages, which we then converted into  low-dose (levels 1 and 2) and high-dose (levels 3 and 4). For antipsychotic treatments, we converted the doses into chlorpromazine dose equivalents, and coded as 0, 1 or 2, for no medication, up to mean effective daily dose, or above the daily dose as defined by </w:t>
      </w:r>
      <w:r w:rsidRPr="008D7347">
        <w:rPr>
          <w:rFonts w:ascii="Calibri" w:eastAsia="Times New Roman" w:hAnsi="Calibri" w:cs="Calibri"/>
          <w:lang w:eastAsia="fr-FR"/>
        </w:rPr>
        <w:fldChar w:fldCharType="begin" w:fldLock="1"/>
      </w:r>
      <w:r w:rsidR="00B314DA">
        <w:rPr>
          <w:rFonts w:ascii="Calibri" w:eastAsia="Times New Roman" w:hAnsi="Calibri" w:cs="Calibri"/>
          <w:lang w:eastAsia="fr-FR"/>
        </w:rPr>
        <w:instrText>ADDIN CSL_CITATION {"citationItems":[{"id":"ITEM-1","itemData":{"DOI":"10.1097/01.jcp.0000117422.05703.ae","ISBN":"0271-0749 (Print)","ISSN":"0271-0749","PMID":"15206667","abstract":"We review evidence from randomized, placebo-controlled studies of patients with schizophrenia or schizoaffective disorder, which compared 2 or more doses of an antipsychotic to calculate the dose-response curve for each first-generation (typical) antipsychotic (FGA) or second-generation (atypical) antipsychotic (SGA) and as a group (based on dose equivalence). We identified the near-maximal effective dose (ED; ie, the threshold dose necessary to produce all or almost all the clinical responses for each drug). In randomized, fixed-dose studies of SGAs, the near-maximal efficacy dose for olanzapine may be greater than 16 mg; for risperidone, it is 4 mg; and for ziprasidone, it is 120 mg. Risperidone at 2 mg daily is 50% less efficacious than higher doses. Olanzapine at about 6 mg is approximately 33% less effective than higher doses. Aripiprazole at 10 mg daily was fully efficacious. Doses of clozapine well above 400 mg are necessary for optimal treatment of many schizophrenia patients. We found 3.3 to 10 mg haloperidol to be the near-maximal ED range. We find no evidence that doses higher than these are more effective. We failed to find that high doses of haloperidol (or all other first-generation comparison drugs converted to equivalent doses) were less effective than medium doses (3.3 to 10 mg). While high-dose FGAs are not less effective, we feel it is important not to avoid using high dose to avoid excessive toxicity.","author":[{"dropping-particle":"","family":"Davis","given":"John M","non-dropping-particle":"","parse-names":false,"suffix":""},{"dropping-particle":"","family":"Chen","given":"Nancy","non-dropping-particle":"","parse-names":false,"suffix":""}],"container-title":"Journal of clinical psychopharmacology","id":"ITEM-1","issue":"2","issued":{"date-parts":[["2004"]]},"page":"192-208","title":"Dose response and dose equivalence of antipsychotics.","type":"article-journal","volume":"24"},"uris":["http://www.mendeley.com/documents/?uuid=99ce9622-9451-40a5-b6c0-8ed879afb73b"]}],"mendeley":{"formattedCitation":"8","manualFormatting":"Davis and Chen (2004)","plainTextFormattedCitation":"8","previouslyFormattedCitation":"7"},"properties":{"noteIndex":0},"schema":"https://github.com/citation-style-language/schema/raw/master/csl-citation.json"}</w:instrText>
      </w:r>
      <w:r w:rsidRPr="008D7347">
        <w:rPr>
          <w:rFonts w:ascii="Calibri" w:eastAsia="Times New Roman" w:hAnsi="Calibri" w:cs="Calibri"/>
          <w:lang w:eastAsia="fr-FR"/>
        </w:rPr>
        <w:fldChar w:fldCharType="separate"/>
      </w:r>
      <w:r w:rsidRPr="008D7347">
        <w:rPr>
          <w:rFonts w:ascii="Calibri" w:eastAsia="Times New Roman" w:hAnsi="Calibri" w:cs="Calibri"/>
          <w:noProof/>
          <w:lang w:eastAsia="fr-FR"/>
        </w:rPr>
        <w:t xml:space="preserve">Davis and Chen </w:t>
      </w:r>
      <w:r>
        <w:rPr>
          <w:rFonts w:ascii="Calibri" w:eastAsia="Times New Roman" w:hAnsi="Calibri" w:cs="Calibri"/>
          <w:noProof/>
          <w:lang w:eastAsia="fr-FR"/>
        </w:rPr>
        <w:t>(</w:t>
      </w:r>
      <w:r w:rsidRPr="008D7347">
        <w:rPr>
          <w:rFonts w:ascii="Calibri" w:eastAsia="Times New Roman" w:hAnsi="Calibri" w:cs="Calibri"/>
          <w:noProof/>
          <w:lang w:eastAsia="fr-FR"/>
        </w:rPr>
        <w:t>2004)</w:t>
      </w:r>
      <w:r w:rsidRPr="008D7347">
        <w:rPr>
          <w:rFonts w:ascii="Calibri" w:eastAsia="Times New Roman" w:hAnsi="Calibri" w:cs="Calibri"/>
          <w:lang w:eastAsia="fr-FR"/>
        </w:rPr>
        <w:fldChar w:fldCharType="end"/>
      </w:r>
      <w:r w:rsidRPr="008D7347">
        <w:rPr>
          <w:rFonts w:ascii="Calibri" w:eastAsia="Times New Roman" w:hAnsi="Calibri" w:cs="Calibri"/>
          <w:lang w:eastAsia="fr-FR"/>
        </w:rPr>
        <w:t xml:space="preserve">. Anxiolytic (lorazepam and alprazolam) psychostimulant (methylphenidate) doses were similarly coded as 0, 1 or 2, with reference to the midpoint of the Physician’s Desk Reference-recommended daily dose range. Finally, we generated a composite measure of total medication load, reflecting dose and variety of different medications taken, by summing all individual medication codes for each medication category for each individual BPD participant. </w:t>
      </w:r>
    </w:p>
    <w:p w14:paraId="6D3E8DE7" w14:textId="5E27BB93" w:rsidR="00D237A9" w:rsidRPr="000043E9" w:rsidRDefault="00AC5992" w:rsidP="000043E9">
      <w:pPr>
        <w:spacing w:beforeLines="1" w:before="2" w:afterLines="1" w:after="2" w:line="480" w:lineRule="auto"/>
        <w:ind w:firstLine="720"/>
        <w:jc w:val="both"/>
        <w:rPr>
          <w:rFonts w:cstheme="minorHAnsi"/>
          <w:color w:val="222222"/>
          <w:shd w:val="clear" w:color="auto" w:fill="FFFFFF"/>
          <w:lang w:val="en-US"/>
        </w:rPr>
      </w:pPr>
      <w:r>
        <w:rPr>
          <w:rFonts w:cstheme="minorHAnsi"/>
          <w:color w:val="222222"/>
          <w:shd w:val="clear" w:color="auto" w:fill="FFFFFF"/>
          <w:lang w:val="en-US"/>
        </w:rPr>
        <w:lastRenderedPageBreak/>
        <w:t>To test the effects of Medication load on our significantly activated brain regions from Model 1 and 2 (i.e. full-factorial analysis for the cues and feedbacks), w</w:t>
      </w:r>
      <w:r w:rsidR="00D237A9" w:rsidRPr="00516C8B">
        <w:rPr>
          <w:rFonts w:cstheme="minorHAnsi"/>
          <w:color w:val="222222"/>
          <w:shd w:val="clear" w:color="auto" w:fill="FFFFFF"/>
          <w:lang w:val="en-US"/>
        </w:rPr>
        <w:t xml:space="preserve">e </w:t>
      </w:r>
      <w:r>
        <w:rPr>
          <w:rFonts w:cstheme="minorHAnsi"/>
          <w:color w:val="222222"/>
          <w:shd w:val="clear" w:color="auto" w:fill="FFFFFF"/>
          <w:lang w:val="en-US"/>
        </w:rPr>
        <w:t>conducted</w:t>
      </w:r>
      <w:r w:rsidR="00D237A9" w:rsidRPr="00516C8B">
        <w:rPr>
          <w:rFonts w:cstheme="minorHAnsi"/>
          <w:color w:val="222222"/>
          <w:shd w:val="clear" w:color="auto" w:fill="FFFFFF"/>
          <w:lang w:val="en-US"/>
        </w:rPr>
        <w:t xml:space="preserve"> a series of repeated measures ANCOVAs using the beta estimates extracted from each region individually. These ANCOVAs included the </w:t>
      </w:r>
      <w:r>
        <w:rPr>
          <w:rFonts w:cstheme="minorHAnsi"/>
          <w:color w:val="222222"/>
          <w:shd w:val="clear" w:color="auto" w:fill="FFFFFF"/>
          <w:lang w:val="en-US"/>
        </w:rPr>
        <w:t xml:space="preserve">covariate “Medication Load” and the </w:t>
      </w:r>
      <w:r w:rsidR="00D237A9" w:rsidRPr="00516C8B">
        <w:rPr>
          <w:rFonts w:cstheme="minorHAnsi"/>
          <w:color w:val="222222"/>
          <w:shd w:val="clear" w:color="auto" w:fill="FFFFFF"/>
          <w:lang w:val="en-US"/>
        </w:rPr>
        <w:t xml:space="preserve">within-subjects factor </w:t>
      </w:r>
      <w:r w:rsidR="00D237A9" w:rsidRPr="00516C8B">
        <w:rPr>
          <w:rFonts w:cstheme="minorHAnsi"/>
          <w:lang w:val="en-US" w:eastAsia="en-CA"/>
        </w:rPr>
        <w:t>‘Social Condition’ (social, non-social) for the cues</w:t>
      </w:r>
      <w:r w:rsidR="00746A02">
        <w:rPr>
          <w:rFonts w:cstheme="minorHAnsi"/>
          <w:lang w:val="en-US" w:eastAsia="en-CA"/>
        </w:rPr>
        <w:t>,</w:t>
      </w:r>
      <w:r w:rsidR="00D237A9" w:rsidRPr="00516C8B">
        <w:rPr>
          <w:rFonts w:cstheme="minorHAnsi"/>
          <w:lang w:val="en-US" w:eastAsia="en-CA"/>
        </w:rPr>
        <w:t xml:space="preserve"> and ‘Social Condition’ (social, non-social) x ‘Reward Outcome’ (win, lose) for the feedbacks</w:t>
      </w:r>
      <w:r w:rsidR="00D237A9" w:rsidRPr="00516C8B">
        <w:rPr>
          <w:rFonts w:cstheme="minorHAnsi"/>
          <w:color w:val="222222"/>
          <w:shd w:val="clear" w:color="auto" w:fill="FFFFFF"/>
          <w:lang w:val="en-US"/>
        </w:rPr>
        <w:t xml:space="preserve">. We specifically </w:t>
      </w:r>
      <w:r w:rsidR="00746A02">
        <w:rPr>
          <w:rFonts w:cstheme="minorHAnsi"/>
          <w:color w:val="222222"/>
          <w:shd w:val="clear" w:color="auto" w:fill="FFFFFF"/>
          <w:lang w:val="en-US"/>
        </w:rPr>
        <w:t>checked for an effect in the</w:t>
      </w:r>
      <w:r w:rsidR="00D237A9" w:rsidRPr="00516C8B">
        <w:rPr>
          <w:rFonts w:cstheme="minorHAnsi"/>
          <w:color w:val="222222"/>
          <w:shd w:val="clear" w:color="auto" w:fill="FFFFFF"/>
          <w:lang w:val="en-US"/>
        </w:rPr>
        <w:t xml:space="preserve"> relevant interactions (i.e. Social Condition x </w:t>
      </w:r>
      <w:r w:rsidR="00746A02">
        <w:rPr>
          <w:rFonts w:cstheme="minorHAnsi"/>
          <w:color w:val="222222"/>
          <w:shd w:val="clear" w:color="auto" w:fill="FFFFFF"/>
          <w:lang w:val="en-US"/>
        </w:rPr>
        <w:t>Medication Load</w:t>
      </w:r>
      <w:r w:rsidR="00D237A9" w:rsidRPr="00516C8B">
        <w:rPr>
          <w:rFonts w:cstheme="minorHAnsi"/>
          <w:color w:val="222222"/>
          <w:shd w:val="clear" w:color="auto" w:fill="FFFFFF"/>
          <w:lang w:val="en-US"/>
        </w:rPr>
        <w:t xml:space="preserve"> for the cues, and Social Condition x Reward Outcome x </w:t>
      </w:r>
      <w:r w:rsidR="00746A02">
        <w:rPr>
          <w:rFonts w:cstheme="minorHAnsi"/>
          <w:color w:val="222222"/>
          <w:shd w:val="clear" w:color="auto" w:fill="FFFFFF"/>
          <w:lang w:val="en-US"/>
        </w:rPr>
        <w:t>Medication Load</w:t>
      </w:r>
      <w:r w:rsidR="00D237A9" w:rsidRPr="00516C8B">
        <w:rPr>
          <w:rFonts w:cstheme="minorHAnsi"/>
          <w:color w:val="222222"/>
          <w:shd w:val="clear" w:color="auto" w:fill="FFFFFF"/>
          <w:lang w:val="en-US"/>
        </w:rPr>
        <w:t xml:space="preserve"> for the feedbacks). </w:t>
      </w:r>
      <w:r>
        <w:rPr>
          <w:rFonts w:cstheme="minorHAnsi"/>
          <w:color w:val="222222"/>
          <w:shd w:val="clear" w:color="auto" w:fill="FFFFFF"/>
          <w:lang w:val="en-US"/>
        </w:rPr>
        <w:t xml:space="preserve">Additionally, to test the effects of medication on Model 3 (i.e. an independent samples t-test), </w:t>
      </w:r>
      <w:r w:rsidRPr="000043E9">
        <w:rPr>
          <w:rFonts w:cstheme="minorHAnsi"/>
          <w:color w:val="222222"/>
          <w:shd w:val="clear" w:color="auto" w:fill="FFFFFF"/>
          <w:lang w:val="en-US"/>
        </w:rPr>
        <w:t xml:space="preserve">we correlated the extracted beta estimates with medication load. </w:t>
      </w:r>
    </w:p>
    <w:p w14:paraId="7ED36D32" w14:textId="48378236" w:rsidR="00D237A9" w:rsidRDefault="000043E9" w:rsidP="000043E9">
      <w:pPr>
        <w:pStyle w:val="Heading2"/>
        <w:spacing w:line="480" w:lineRule="auto"/>
        <w:rPr>
          <w:rFonts w:asciiTheme="minorHAnsi" w:hAnsiTheme="minorHAnsi" w:cstheme="minorHAnsi"/>
          <w:sz w:val="22"/>
          <w:szCs w:val="22"/>
          <w:lang w:val="en-US"/>
        </w:rPr>
      </w:pPr>
      <w:r w:rsidRPr="000043E9">
        <w:rPr>
          <w:rFonts w:asciiTheme="minorHAnsi" w:hAnsiTheme="minorHAnsi" w:cstheme="minorHAnsi"/>
          <w:sz w:val="22"/>
          <w:szCs w:val="22"/>
          <w:lang w:val="en-US"/>
        </w:rPr>
        <w:t>Comorbid disorders</w:t>
      </w:r>
    </w:p>
    <w:p w14:paraId="230C3159" w14:textId="77777777" w:rsidR="00425EBE" w:rsidRPr="000043E9" w:rsidRDefault="005416FF" w:rsidP="00425EBE">
      <w:pPr>
        <w:spacing w:line="480" w:lineRule="auto"/>
        <w:ind w:firstLine="720"/>
        <w:jc w:val="both"/>
        <w:rPr>
          <w:lang w:val="en-US"/>
        </w:rPr>
      </w:pPr>
      <w:r>
        <w:rPr>
          <w:rFonts w:cstheme="minorHAnsi"/>
          <w:color w:val="222222"/>
          <w:shd w:val="clear" w:color="auto" w:fill="FFFFFF"/>
          <w:lang w:val="en-US"/>
        </w:rPr>
        <w:t xml:space="preserve">To test the effects of </w:t>
      </w:r>
      <w:r>
        <w:rPr>
          <w:lang w:val="en-US"/>
        </w:rPr>
        <w:t xml:space="preserve">comorbid disorders (i.e. patients suffering from current depression and ADHD) </w:t>
      </w:r>
      <w:r>
        <w:rPr>
          <w:rFonts w:cstheme="minorHAnsi"/>
          <w:color w:val="222222"/>
          <w:shd w:val="clear" w:color="auto" w:fill="FFFFFF"/>
          <w:lang w:val="en-US"/>
        </w:rPr>
        <w:t>on our significantly activated brain regions from Model 1 and 2 (i.e. full-factorial analysis for the cues and feedbacks), w</w:t>
      </w:r>
      <w:r w:rsidRPr="00516C8B">
        <w:rPr>
          <w:rFonts w:cstheme="minorHAnsi"/>
          <w:color w:val="222222"/>
          <w:shd w:val="clear" w:color="auto" w:fill="FFFFFF"/>
          <w:lang w:val="en-US"/>
        </w:rPr>
        <w:t xml:space="preserve">e </w:t>
      </w:r>
      <w:r>
        <w:rPr>
          <w:rFonts w:cstheme="minorHAnsi"/>
          <w:color w:val="222222"/>
          <w:shd w:val="clear" w:color="auto" w:fill="FFFFFF"/>
          <w:lang w:val="en-US"/>
        </w:rPr>
        <w:t>conducted</w:t>
      </w:r>
      <w:r w:rsidRPr="00516C8B">
        <w:rPr>
          <w:rFonts w:cstheme="minorHAnsi"/>
          <w:color w:val="222222"/>
          <w:shd w:val="clear" w:color="auto" w:fill="FFFFFF"/>
          <w:lang w:val="en-US"/>
        </w:rPr>
        <w:t xml:space="preserve"> a series of repeated me</w:t>
      </w:r>
      <w:r>
        <w:rPr>
          <w:rFonts w:cstheme="minorHAnsi"/>
          <w:color w:val="222222"/>
          <w:shd w:val="clear" w:color="auto" w:fill="FFFFFF"/>
          <w:lang w:val="en-US"/>
        </w:rPr>
        <w:t>asures AN</w:t>
      </w:r>
      <w:r w:rsidRPr="00516C8B">
        <w:rPr>
          <w:rFonts w:cstheme="minorHAnsi"/>
          <w:color w:val="222222"/>
          <w:shd w:val="clear" w:color="auto" w:fill="FFFFFF"/>
          <w:lang w:val="en-US"/>
        </w:rPr>
        <w:t>OVAs using the beta estimates extracted from eac</w:t>
      </w:r>
      <w:r>
        <w:rPr>
          <w:rFonts w:cstheme="minorHAnsi"/>
          <w:color w:val="222222"/>
          <w:shd w:val="clear" w:color="auto" w:fill="FFFFFF"/>
          <w:lang w:val="en-US"/>
        </w:rPr>
        <w:t>h region individually. These AN</w:t>
      </w:r>
      <w:r w:rsidRPr="00516C8B">
        <w:rPr>
          <w:rFonts w:cstheme="minorHAnsi"/>
          <w:color w:val="222222"/>
          <w:shd w:val="clear" w:color="auto" w:fill="FFFFFF"/>
          <w:lang w:val="en-US"/>
        </w:rPr>
        <w:t xml:space="preserve">OVAs included the </w:t>
      </w:r>
      <w:r>
        <w:rPr>
          <w:rFonts w:cstheme="minorHAnsi"/>
          <w:color w:val="222222"/>
          <w:shd w:val="clear" w:color="auto" w:fill="FFFFFF"/>
          <w:lang w:val="en-US"/>
        </w:rPr>
        <w:t xml:space="preserve">between subjects factors “Comorbidity”  (yes, no) and the </w:t>
      </w:r>
      <w:r w:rsidRPr="00516C8B">
        <w:rPr>
          <w:rFonts w:cstheme="minorHAnsi"/>
          <w:color w:val="222222"/>
          <w:shd w:val="clear" w:color="auto" w:fill="FFFFFF"/>
          <w:lang w:val="en-US"/>
        </w:rPr>
        <w:t xml:space="preserve">within-subjects factor </w:t>
      </w:r>
      <w:r w:rsidRPr="00516C8B">
        <w:rPr>
          <w:rFonts w:cstheme="minorHAnsi"/>
          <w:lang w:val="en-US" w:eastAsia="en-CA"/>
        </w:rPr>
        <w:t>‘Social Condition’ (social, non-social) for the cues</w:t>
      </w:r>
      <w:r>
        <w:rPr>
          <w:rFonts w:cstheme="minorHAnsi"/>
          <w:lang w:val="en-US" w:eastAsia="en-CA"/>
        </w:rPr>
        <w:t>,</w:t>
      </w:r>
      <w:r w:rsidRPr="00516C8B">
        <w:rPr>
          <w:rFonts w:cstheme="minorHAnsi"/>
          <w:lang w:val="en-US" w:eastAsia="en-CA"/>
        </w:rPr>
        <w:t xml:space="preserve"> and ‘Social Condition’ (social, non-social) x ‘Reward Outcome’ (win, lose) for the feedbacks</w:t>
      </w:r>
      <w:r w:rsidRPr="00516C8B">
        <w:rPr>
          <w:rFonts w:cstheme="minorHAnsi"/>
          <w:color w:val="222222"/>
          <w:shd w:val="clear" w:color="auto" w:fill="FFFFFF"/>
          <w:lang w:val="en-US"/>
        </w:rPr>
        <w:t xml:space="preserve">. We specifically </w:t>
      </w:r>
      <w:r>
        <w:rPr>
          <w:rFonts w:cstheme="minorHAnsi"/>
          <w:color w:val="222222"/>
          <w:shd w:val="clear" w:color="auto" w:fill="FFFFFF"/>
          <w:lang w:val="en-US"/>
        </w:rPr>
        <w:t>checked for an effect in the</w:t>
      </w:r>
      <w:r w:rsidRPr="00516C8B">
        <w:rPr>
          <w:rFonts w:cstheme="minorHAnsi"/>
          <w:color w:val="222222"/>
          <w:shd w:val="clear" w:color="auto" w:fill="FFFFFF"/>
          <w:lang w:val="en-US"/>
        </w:rPr>
        <w:t xml:space="preserve"> relevant interactions (i.e. Social Condition x </w:t>
      </w:r>
      <w:r>
        <w:rPr>
          <w:rFonts w:cstheme="minorHAnsi"/>
          <w:color w:val="222222"/>
          <w:shd w:val="clear" w:color="auto" w:fill="FFFFFF"/>
          <w:lang w:val="en-US"/>
        </w:rPr>
        <w:t>Comorbidity</w:t>
      </w:r>
      <w:r w:rsidRPr="00516C8B">
        <w:rPr>
          <w:rFonts w:cstheme="minorHAnsi"/>
          <w:color w:val="222222"/>
          <w:shd w:val="clear" w:color="auto" w:fill="FFFFFF"/>
          <w:lang w:val="en-US"/>
        </w:rPr>
        <w:t xml:space="preserve"> for the cues, and Social Condition x Reward Outcome x </w:t>
      </w:r>
      <w:r>
        <w:rPr>
          <w:rFonts w:cstheme="minorHAnsi"/>
          <w:color w:val="222222"/>
          <w:shd w:val="clear" w:color="auto" w:fill="FFFFFF"/>
          <w:lang w:val="en-US"/>
        </w:rPr>
        <w:t>Comorbidity</w:t>
      </w:r>
      <w:r w:rsidRPr="00516C8B">
        <w:rPr>
          <w:rFonts w:cstheme="minorHAnsi"/>
          <w:color w:val="222222"/>
          <w:shd w:val="clear" w:color="auto" w:fill="FFFFFF"/>
          <w:lang w:val="en-US"/>
        </w:rPr>
        <w:t xml:space="preserve"> for the feedbacks)</w:t>
      </w:r>
      <w:r>
        <w:rPr>
          <w:rFonts w:cstheme="minorHAnsi"/>
          <w:color w:val="222222"/>
          <w:shd w:val="clear" w:color="auto" w:fill="FFFFFF"/>
          <w:lang w:val="en-US"/>
        </w:rPr>
        <w:t xml:space="preserve"> as well as the main effects of Comorbidity</w:t>
      </w:r>
      <w:r w:rsidRPr="00516C8B">
        <w:rPr>
          <w:rFonts w:cstheme="minorHAnsi"/>
          <w:color w:val="222222"/>
          <w:shd w:val="clear" w:color="auto" w:fill="FFFFFF"/>
          <w:lang w:val="en-US"/>
        </w:rPr>
        <w:t xml:space="preserve">. </w:t>
      </w:r>
      <w:r w:rsidR="00425EBE">
        <w:rPr>
          <w:rFonts w:cstheme="minorHAnsi"/>
          <w:color w:val="222222"/>
          <w:shd w:val="clear" w:color="auto" w:fill="FFFFFF"/>
          <w:lang w:val="en-US"/>
        </w:rPr>
        <w:t>To understand the effects of comorbidity on the pgACC activity (</w:t>
      </w:r>
      <w:r w:rsidR="00425EBE">
        <w:rPr>
          <w:lang w:val="en-US"/>
        </w:rPr>
        <w:t>Figure 4 in the main paper),</w:t>
      </w:r>
      <w:r w:rsidR="00425EBE">
        <w:rPr>
          <w:rFonts w:cstheme="minorHAnsi"/>
          <w:color w:val="222222"/>
          <w:shd w:val="clear" w:color="auto" w:fill="FFFFFF"/>
          <w:lang w:val="en-US"/>
        </w:rPr>
        <w:t xml:space="preserve"> we conducted independent samples t-tests between BPD patients with and without each disorder on the extracted beta weights. </w:t>
      </w:r>
    </w:p>
    <w:p w14:paraId="351CC931" w14:textId="429B1CCB" w:rsidR="0025538F" w:rsidRPr="00746108" w:rsidRDefault="00DC03B5" w:rsidP="001E781B">
      <w:pPr>
        <w:pStyle w:val="Heading1"/>
        <w:spacing w:line="480" w:lineRule="auto"/>
        <w:rPr>
          <w:rFonts w:asciiTheme="minorHAnsi" w:hAnsiTheme="minorHAnsi" w:cstheme="minorHAnsi"/>
          <w:sz w:val="22"/>
          <w:szCs w:val="22"/>
          <w:lang w:val="en-US"/>
        </w:rPr>
      </w:pPr>
      <w:r w:rsidRPr="000043E9">
        <w:rPr>
          <w:rFonts w:asciiTheme="minorHAnsi" w:hAnsiTheme="minorHAnsi" w:cstheme="minorHAnsi"/>
          <w:sz w:val="22"/>
          <w:szCs w:val="22"/>
          <w:lang w:val="en-US"/>
        </w:rPr>
        <w:t>Results</w:t>
      </w:r>
    </w:p>
    <w:p w14:paraId="67E4964F" w14:textId="0DC6B9E7" w:rsidR="00D237A9" w:rsidRPr="00746A02" w:rsidRDefault="00746A02" w:rsidP="00746A02">
      <w:pPr>
        <w:pStyle w:val="Heading2"/>
        <w:spacing w:line="480" w:lineRule="auto"/>
        <w:rPr>
          <w:rFonts w:asciiTheme="minorHAnsi" w:hAnsiTheme="minorHAnsi" w:cstheme="minorHAnsi"/>
          <w:sz w:val="22"/>
          <w:szCs w:val="22"/>
          <w:lang w:val="en-US"/>
        </w:rPr>
      </w:pPr>
      <w:r w:rsidRPr="00746A02">
        <w:rPr>
          <w:rFonts w:asciiTheme="minorHAnsi" w:hAnsiTheme="minorHAnsi" w:cstheme="minorHAnsi"/>
          <w:sz w:val="22"/>
          <w:szCs w:val="22"/>
          <w:lang w:val="en-US"/>
        </w:rPr>
        <w:t>Medication Load Results</w:t>
      </w:r>
    </w:p>
    <w:p w14:paraId="0A703199" w14:textId="33041ED4" w:rsidR="001D357D" w:rsidRDefault="00746A02" w:rsidP="000441D2">
      <w:pPr>
        <w:spacing w:line="480" w:lineRule="auto"/>
        <w:jc w:val="both"/>
        <w:rPr>
          <w:rFonts w:cstheme="minorHAnsi"/>
          <w:color w:val="222222"/>
          <w:shd w:val="clear" w:color="auto" w:fill="FFFFFF"/>
          <w:lang w:val="en-US"/>
        </w:rPr>
      </w:pPr>
      <w:r w:rsidRPr="00746A02">
        <w:rPr>
          <w:rFonts w:cstheme="minorHAnsi"/>
          <w:color w:val="222222"/>
          <w:shd w:val="clear" w:color="auto" w:fill="FFFFFF"/>
          <w:lang w:val="en-US"/>
        </w:rPr>
        <w:lastRenderedPageBreak/>
        <w:t xml:space="preserve">All </w:t>
      </w:r>
      <w:r w:rsidR="007F39A1">
        <w:rPr>
          <w:rFonts w:cstheme="minorHAnsi"/>
          <w:color w:val="222222"/>
          <w:shd w:val="clear" w:color="auto" w:fill="FFFFFF"/>
          <w:lang w:val="en-US"/>
        </w:rPr>
        <w:t>ANCOVA</w:t>
      </w:r>
      <w:r w:rsidRPr="00746A02">
        <w:rPr>
          <w:rFonts w:cstheme="minorHAnsi"/>
          <w:color w:val="222222"/>
          <w:shd w:val="clear" w:color="auto" w:fill="FFFFFF"/>
          <w:lang w:val="en-US"/>
        </w:rPr>
        <w:t>s</w:t>
      </w:r>
      <w:r w:rsidR="00AC5992">
        <w:rPr>
          <w:rFonts w:cstheme="minorHAnsi"/>
          <w:color w:val="222222"/>
          <w:shd w:val="clear" w:color="auto" w:fill="FFFFFF"/>
          <w:lang w:val="en-US"/>
        </w:rPr>
        <w:t>/correlations</w:t>
      </w:r>
      <w:r w:rsidRPr="00746A02">
        <w:rPr>
          <w:rFonts w:cstheme="minorHAnsi"/>
          <w:color w:val="222222"/>
          <w:shd w:val="clear" w:color="auto" w:fill="FFFFFF"/>
          <w:lang w:val="en-US"/>
        </w:rPr>
        <w:t xml:space="preserve"> yielded non-significant results </w:t>
      </w:r>
      <w:r>
        <w:rPr>
          <w:rFonts w:cstheme="minorHAnsi"/>
          <w:color w:val="222222"/>
          <w:shd w:val="clear" w:color="auto" w:fill="FFFFFF"/>
          <w:lang w:val="en-US"/>
        </w:rPr>
        <w:t>in</w:t>
      </w:r>
      <w:r w:rsidRPr="00746A02">
        <w:rPr>
          <w:rFonts w:cstheme="minorHAnsi"/>
          <w:color w:val="222222"/>
          <w:shd w:val="clear" w:color="auto" w:fill="FFFFFF"/>
          <w:lang w:val="en-US"/>
        </w:rPr>
        <w:t xml:space="preserve"> all relevant main effects and interactions (all p&gt;.</w:t>
      </w:r>
      <w:r w:rsidR="00AC5992">
        <w:rPr>
          <w:rFonts w:cstheme="minorHAnsi"/>
          <w:color w:val="222222"/>
          <w:shd w:val="clear" w:color="auto" w:fill="FFFFFF"/>
          <w:lang w:val="en-US"/>
        </w:rPr>
        <w:t>06</w:t>
      </w:r>
      <w:r w:rsidRPr="00746A02">
        <w:rPr>
          <w:rFonts w:cstheme="minorHAnsi"/>
          <w:color w:val="222222"/>
          <w:shd w:val="clear" w:color="auto" w:fill="FFFFFF"/>
          <w:lang w:val="en-US"/>
        </w:rPr>
        <w:t>; Supplemental Table S4). Taken together, we can suggest that medication did not have a large effect on the neural activations reported here.</w:t>
      </w:r>
      <w:r w:rsidR="000441D2">
        <w:rPr>
          <w:rFonts w:cstheme="minorHAnsi"/>
          <w:color w:val="222222"/>
          <w:shd w:val="clear" w:color="auto" w:fill="FFFFFF"/>
          <w:lang w:val="en-US"/>
        </w:rPr>
        <w:t xml:space="preserve"> </w:t>
      </w:r>
      <w:bookmarkStart w:id="0" w:name="_GoBack"/>
      <w:r w:rsidR="000441D2">
        <w:rPr>
          <w:rFonts w:cstheme="minorHAnsi"/>
          <w:color w:val="222222"/>
          <w:shd w:val="clear" w:color="auto" w:fill="FFFFFF"/>
          <w:lang w:val="en-US"/>
        </w:rPr>
        <w:t xml:space="preserve">It should also be noted, that 3 participants were prescribed </w:t>
      </w:r>
      <w:r w:rsidR="000441D2">
        <w:t>benzodiazepines</w:t>
      </w:r>
      <w:r w:rsidR="000441D2">
        <w:rPr>
          <w:rFonts w:cstheme="minorHAnsi"/>
          <w:color w:val="222222"/>
          <w:shd w:val="clear" w:color="auto" w:fill="FFFFFF"/>
          <w:lang w:val="en-US"/>
        </w:rPr>
        <w:t xml:space="preserve">. To ensure there was not a large confound from these patients, we also re-ran the neuroimaging analyses listen in the main text. Across all 4 models, there was a very limited difference when removing the patients (e.g. a reduction of 5-6 voxels). </w:t>
      </w:r>
    </w:p>
    <w:bookmarkEnd w:id="0"/>
    <w:p w14:paraId="679516D2" w14:textId="5454C319" w:rsidR="00C43C72" w:rsidRPr="00746A02" w:rsidRDefault="00C43C72" w:rsidP="00C43C72">
      <w:pPr>
        <w:pStyle w:val="Heading2"/>
        <w:spacing w:line="480"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Comorbid Disorders </w:t>
      </w:r>
      <w:r w:rsidRPr="00746A02">
        <w:rPr>
          <w:rFonts w:asciiTheme="minorHAnsi" w:hAnsiTheme="minorHAnsi" w:cstheme="minorHAnsi"/>
          <w:sz w:val="22"/>
          <w:szCs w:val="22"/>
          <w:lang w:val="en-US"/>
        </w:rPr>
        <w:t>Results</w:t>
      </w:r>
    </w:p>
    <w:p w14:paraId="3BF8B2E3" w14:textId="606DD32F" w:rsidR="00C43C72" w:rsidRDefault="00C43C72" w:rsidP="00A06080">
      <w:pPr>
        <w:spacing w:line="480" w:lineRule="auto"/>
        <w:rPr>
          <w:rFonts w:cstheme="minorHAnsi"/>
          <w:lang w:val="en-US"/>
        </w:rPr>
      </w:pPr>
      <w:r>
        <w:rPr>
          <w:rFonts w:cstheme="minorHAnsi"/>
          <w:lang w:val="en-US"/>
        </w:rPr>
        <w:t>All ANOVAs</w:t>
      </w:r>
      <w:r w:rsidR="001E4F5C">
        <w:rPr>
          <w:rFonts w:cstheme="minorHAnsi"/>
          <w:lang w:val="en-US"/>
        </w:rPr>
        <w:t>/t-tests</w:t>
      </w:r>
      <w:r>
        <w:rPr>
          <w:rFonts w:cstheme="minorHAnsi"/>
          <w:lang w:val="en-US"/>
        </w:rPr>
        <w:t xml:space="preserve"> yielded non-significant results in all relevant main effects and interactions</w:t>
      </w:r>
      <w:r w:rsidR="00283FEE">
        <w:rPr>
          <w:rFonts w:cstheme="minorHAnsi"/>
          <w:lang w:val="en-US"/>
        </w:rPr>
        <w:t xml:space="preserve"> (</w:t>
      </w:r>
      <w:r w:rsidR="00283FEE" w:rsidRPr="00A06080">
        <w:rPr>
          <w:rFonts w:cstheme="minorHAnsi"/>
          <w:lang w:val="en-US"/>
        </w:rPr>
        <w:t>Supplemental Table S5)</w:t>
      </w:r>
      <w:r w:rsidRPr="00A06080">
        <w:rPr>
          <w:rFonts w:cstheme="minorHAnsi"/>
          <w:lang w:val="en-US"/>
        </w:rPr>
        <w:t xml:space="preserve">. </w:t>
      </w:r>
    </w:p>
    <w:p w14:paraId="2225C96D" w14:textId="7AE45E49" w:rsidR="00297558" w:rsidRDefault="00297558" w:rsidP="00297558">
      <w:pPr>
        <w:pStyle w:val="Heading2"/>
        <w:spacing w:line="480" w:lineRule="auto"/>
        <w:rPr>
          <w:rFonts w:asciiTheme="minorHAnsi" w:hAnsiTheme="minorHAnsi" w:cstheme="minorHAnsi"/>
          <w:sz w:val="22"/>
          <w:szCs w:val="22"/>
          <w:lang w:val="en-US"/>
        </w:rPr>
      </w:pPr>
      <w:r>
        <w:rPr>
          <w:rFonts w:asciiTheme="minorHAnsi" w:hAnsiTheme="minorHAnsi" w:cstheme="minorHAnsi"/>
          <w:sz w:val="22"/>
          <w:szCs w:val="22"/>
          <w:lang w:val="en-US"/>
        </w:rPr>
        <w:t>Model 4-</w:t>
      </w:r>
      <w:r w:rsidRPr="00297558">
        <w:t xml:space="preserve"> </w:t>
      </w:r>
      <w:r w:rsidRPr="00297558">
        <w:rPr>
          <w:rFonts w:asciiTheme="minorHAnsi" w:hAnsiTheme="minorHAnsi" w:cstheme="minorHAnsi"/>
          <w:sz w:val="22"/>
          <w:szCs w:val="22"/>
          <w:lang w:val="en-US"/>
        </w:rPr>
        <w:t>Independent Samples T-Test Regression Analysis</w:t>
      </w:r>
      <w:r>
        <w:rPr>
          <w:rFonts w:asciiTheme="minorHAnsi" w:hAnsiTheme="minorHAnsi" w:cstheme="minorHAnsi"/>
          <w:sz w:val="22"/>
          <w:szCs w:val="22"/>
          <w:lang w:val="en-US"/>
        </w:rPr>
        <w:t>: Social Win &gt; Non-social Win Amygdala Regression</w:t>
      </w:r>
    </w:p>
    <w:p w14:paraId="53A3962D" w14:textId="488EEB14" w:rsidR="00297558" w:rsidRPr="00297558" w:rsidRDefault="00297558" w:rsidP="00297558">
      <w:pPr>
        <w:spacing w:line="480" w:lineRule="auto"/>
        <w:jc w:val="both"/>
        <w:rPr>
          <w:lang w:val="en-US"/>
        </w:rPr>
      </w:pPr>
      <w:r>
        <w:rPr>
          <w:lang w:val="en-US"/>
        </w:rPr>
        <w:t xml:space="preserve">As mentioned in the main text, we conducted an additional analysis to understand the effects of the social win&gt;non-social win amygdala betas on the processing of the cues. Specifically, </w:t>
      </w:r>
      <w:r>
        <w:rPr>
          <w:rFonts w:cstheme="minorHAnsi"/>
          <w:lang w:val="en-US"/>
        </w:rPr>
        <w:t>we entered the</w:t>
      </w:r>
      <w:r w:rsidR="00C42A41">
        <w:rPr>
          <w:rFonts w:cstheme="minorHAnsi"/>
          <w:lang w:val="en-US"/>
        </w:rPr>
        <w:t>se</w:t>
      </w:r>
      <w:r>
        <w:rPr>
          <w:rFonts w:cstheme="minorHAnsi"/>
          <w:lang w:val="en-US"/>
        </w:rPr>
        <w:t xml:space="preserve"> beta estimates from the bilateral amygdala ROI as a covariate in an independent samples t-test for </w:t>
      </w:r>
      <w:r w:rsidRPr="00665746">
        <w:rPr>
          <w:rFonts w:cstheme="minorHAnsi"/>
          <w:lang w:val="en-US"/>
        </w:rPr>
        <w:t>social&gt;non-social cues</w:t>
      </w:r>
      <w:r>
        <w:rPr>
          <w:rFonts w:cstheme="minorHAnsi"/>
          <w:lang w:val="en-US"/>
        </w:rPr>
        <w:t xml:space="preserve">, for each group separately (Figure S1). This analysis did not reveal any significantly activated voxels </w:t>
      </w:r>
      <w:r w:rsidR="00684D96">
        <w:rPr>
          <w:rFonts w:cstheme="minorHAnsi"/>
          <w:lang w:val="en-US"/>
        </w:rPr>
        <w:t xml:space="preserve">when contrasting the regressor </w:t>
      </w:r>
      <w:r>
        <w:rPr>
          <w:rFonts w:cstheme="minorHAnsi"/>
          <w:lang w:val="en-US"/>
        </w:rPr>
        <w:t>for either group independently</w:t>
      </w:r>
      <w:r w:rsidR="00684D96">
        <w:rPr>
          <w:rFonts w:cstheme="minorHAnsi"/>
          <w:lang w:val="en-US"/>
        </w:rPr>
        <w:t xml:space="preserve"> (i.e. BPD: social cue&gt;non-social cue, HC:</w:t>
      </w:r>
      <w:r w:rsidR="00684D96" w:rsidRPr="00684D96">
        <w:rPr>
          <w:rFonts w:cstheme="minorHAnsi"/>
          <w:lang w:val="en-US"/>
        </w:rPr>
        <w:t xml:space="preserve"> </w:t>
      </w:r>
      <w:r w:rsidR="00684D96">
        <w:rPr>
          <w:rFonts w:cstheme="minorHAnsi"/>
          <w:lang w:val="en-US"/>
        </w:rPr>
        <w:t>social cue&gt;non-social cue)</w:t>
      </w:r>
      <w:r>
        <w:rPr>
          <w:rFonts w:cstheme="minorHAnsi"/>
          <w:lang w:val="en-US"/>
        </w:rPr>
        <w:t>, nor for the comparison between the two</w:t>
      </w:r>
      <w:r w:rsidR="00684D96">
        <w:rPr>
          <w:rFonts w:cstheme="minorHAnsi"/>
          <w:lang w:val="en-US"/>
        </w:rPr>
        <w:t xml:space="preserve"> (i.e. BPD&gt;HC;</w:t>
      </w:r>
      <w:r w:rsidR="00684D96" w:rsidRPr="00684D96">
        <w:rPr>
          <w:rFonts w:cstheme="minorHAnsi"/>
          <w:lang w:val="en-US"/>
        </w:rPr>
        <w:t xml:space="preserve"> </w:t>
      </w:r>
      <w:r w:rsidR="00684D96">
        <w:rPr>
          <w:rFonts w:cstheme="minorHAnsi"/>
          <w:lang w:val="en-US"/>
        </w:rPr>
        <w:t>social cue&gt;non-social cue, HC&gt;BPD;</w:t>
      </w:r>
      <w:r w:rsidR="00684D96" w:rsidRPr="00684D96">
        <w:rPr>
          <w:rFonts w:cstheme="minorHAnsi"/>
          <w:lang w:val="en-US"/>
        </w:rPr>
        <w:t xml:space="preserve"> </w:t>
      </w:r>
      <w:r w:rsidR="00684D96">
        <w:rPr>
          <w:rFonts w:cstheme="minorHAnsi"/>
          <w:lang w:val="en-US"/>
        </w:rPr>
        <w:t>social cue&gt;non-social cue)</w:t>
      </w:r>
      <w:r>
        <w:rPr>
          <w:rFonts w:cstheme="minorHAnsi"/>
          <w:lang w:val="en-US"/>
        </w:rPr>
        <w:t xml:space="preserve">. </w:t>
      </w:r>
    </w:p>
    <w:p w14:paraId="704BAC81" w14:textId="77777777" w:rsidR="00297558" w:rsidRPr="00A06080" w:rsidRDefault="00297558" w:rsidP="00297558">
      <w:pPr>
        <w:spacing w:line="480" w:lineRule="auto"/>
        <w:rPr>
          <w:rFonts w:cstheme="minorHAnsi"/>
          <w:lang w:val="en-US"/>
        </w:rPr>
      </w:pPr>
    </w:p>
    <w:p w14:paraId="56A48E15" w14:textId="77777777" w:rsidR="00684D96" w:rsidRDefault="00684D96">
      <w:pPr>
        <w:rPr>
          <w:rFonts w:eastAsiaTheme="majorEastAsia" w:cstheme="minorHAnsi"/>
          <w:b/>
          <w:bCs/>
          <w:lang w:val="en-US"/>
        </w:rPr>
      </w:pPr>
      <w:r>
        <w:rPr>
          <w:rFonts w:cstheme="minorHAnsi"/>
          <w:lang w:val="en-US"/>
        </w:rPr>
        <w:br w:type="page"/>
      </w:r>
    </w:p>
    <w:p w14:paraId="4F214E24" w14:textId="0FEEC913" w:rsidR="00EE3961" w:rsidRPr="00746A02" w:rsidRDefault="00EE3961" w:rsidP="00746A02">
      <w:pPr>
        <w:pStyle w:val="Heading1"/>
        <w:spacing w:line="480" w:lineRule="auto"/>
        <w:rPr>
          <w:rFonts w:asciiTheme="minorHAnsi" w:hAnsiTheme="minorHAnsi" w:cstheme="minorHAnsi"/>
          <w:sz w:val="22"/>
          <w:szCs w:val="22"/>
          <w:lang w:val="en-US"/>
        </w:rPr>
      </w:pPr>
      <w:r w:rsidRPr="00746A02">
        <w:rPr>
          <w:rFonts w:asciiTheme="minorHAnsi" w:hAnsiTheme="minorHAnsi" w:cstheme="minorHAnsi"/>
          <w:sz w:val="22"/>
          <w:szCs w:val="22"/>
          <w:lang w:val="en-US"/>
        </w:rPr>
        <w:lastRenderedPageBreak/>
        <w:t>References</w:t>
      </w:r>
    </w:p>
    <w:p w14:paraId="5EECD114" w14:textId="3AE54BDD" w:rsidR="00B314DA" w:rsidRPr="00B314DA" w:rsidRDefault="00EE3961" w:rsidP="00B314DA">
      <w:pPr>
        <w:widowControl w:val="0"/>
        <w:autoSpaceDE w:val="0"/>
        <w:autoSpaceDN w:val="0"/>
        <w:adjustRightInd w:val="0"/>
        <w:spacing w:line="480" w:lineRule="auto"/>
        <w:ind w:left="480" w:hanging="480"/>
        <w:rPr>
          <w:rFonts w:ascii="Calibri" w:hAnsi="Calibri" w:cs="Calibri"/>
          <w:noProof/>
          <w:szCs w:val="24"/>
        </w:rPr>
      </w:pPr>
      <w:r>
        <w:rPr>
          <w:lang w:val="en-US"/>
        </w:rPr>
        <w:fldChar w:fldCharType="begin" w:fldLock="1"/>
      </w:r>
      <w:r>
        <w:rPr>
          <w:lang w:val="en-US"/>
        </w:rPr>
        <w:instrText xml:space="preserve">ADDIN Mendeley Bibliography CSL_BIBLIOGRAPHY </w:instrText>
      </w:r>
      <w:r>
        <w:rPr>
          <w:lang w:val="en-US"/>
        </w:rPr>
        <w:fldChar w:fldCharType="separate"/>
      </w:r>
      <w:r w:rsidR="00B314DA" w:rsidRPr="00B314DA">
        <w:rPr>
          <w:rFonts w:ascii="Calibri" w:hAnsi="Calibri" w:cs="Calibri"/>
          <w:noProof/>
          <w:szCs w:val="24"/>
        </w:rPr>
        <w:t xml:space="preserve">1. Oldfield RC (1971): The assessment and analysis of handedness: the Edinburgh inventory. </w:t>
      </w:r>
      <w:r w:rsidR="00B314DA" w:rsidRPr="00B314DA">
        <w:rPr>
          <w:rFonts w:ascii="Calibri" w:hAnsi="Calibri" w:cs="Calibri"/>
          <w:i/>
          <w:iCs/>
          <w:noProof/>
          <w:szCs w:val="24"/>
        </w:rPr>
        <w:t>Neuropsychologia</w:t>
      </w:r>
      <w:r w:rsidR="00B314DA" w:rsidRPr="00B314DA">
        <w:rPr>
          <w:rFonts w:ascii="Calibri" w:hAnsi="Calibri" w:cs="Calibri"/>
          <w:noProof/>
          <w:szCs w:val="24"/>
        </w:rPr>
        <w:t>. 9: 97–113.</w:t>
      </w:r>
    </w:p>
    <w:p w14:paraId="3E1DE700" w14:textId="77777777" w:rsidR="00B314DA" w:rsidRPr="00B314DA" w:rsidRDefault="00B314DA" w:rsidP="00B314DA">
      <w:pPr>
        <w:widowControl w:val="0"/>
        <w:autoSpaceDE w:val="0"/>
        <w:autoSpaceDN w:val="0"/>
        <w:adjustRightInd w:val="0"/>
        <w:spacing w:line="480" w:lineRule="auto"/>
        <w:ind w:left="480" w:hanging="480"/>
        <w:rPr>
          <w:rFonts w:ascii="Calibri" w:hAnsi="Calibri" w:cs="Calibri"/>
          <w:noProof/>
          <w:szCs w:val="24"/>
        </w:rPr>
      </w:pPr>
      <w:r w:rsidRPr="00B314DA">
        <w:rPr>
          <w:rFonts w:ascii="Calibri" w:hAnsi="Calibri" w:cs="Calibri"/>
          <w:noProof/>
          <w:szCs w:val="24"/>
        </w:rPr>
        <w:t xml:space="preserve">2. Nicastro R, Prada P, Kung A-L, Salamin V, Dayer A, Aubry J-M, </w:t>
      </w:r>
      <w:r w:rsidRPr="00B314DA">
        <w:rPr>
          <w:rFonts w:ascii="Calibri" w:hAnsi="Calibri" w:cs="Calibri"/>
          <w:i/>
          <w:iCs/>
          <w:noProof/>
          <w:szCs w:val="24"/>
        </w:rPr>
        <w:t>et al.</w:t>
      </w:r>
      <w:r w:rsidRPr="00B314DA">
        <w:rPr>
          <w:rFonts w:ascii="Calibri" w:hAnsi="Calibri" w:cs="Calibri"/>
          <w:noProof/>
          <w:szCs w:val="24"/>
        </w:rPr>
        <w:t xml:space="preserve"> (2016): Psychometric properties of the French borderline symptom list, short form (BSL-23). </w:t>
      </w:r>
      <w:r w:rsidRPr="00B314DA">
        <w:rPr>
          <w:rFonts w:ascii="Calibri" w:hAnsi="Calibri" w:cs="Calibri"/>
          <w:i/>
          <w:iCs/>
          <w:noProof/>
          <w:szCs w:val="24"/>
        </w:rPr>
        <w:t>Borderline Personal Disord Emot Dysregulation</w:t>
      </w:r>
      <w:r w:rsidRPr="00B314DA">
        <w:rPr>
          <w:rFonts w:ascii="Calibri" w:hAnsi="Calibri" w:cs="Calibri"/>
          <w:noProof/>
          <w:szCs w:val="24"/>
        </w:rPr>
        <w:t>. 3: 4.</w:t>
      </w:r>
    </w:p>
    <w:p w14:paraId="1C33B2B5" w14:textId="77777777" w:rsidR="00B314DA" w:rsidRPr="00B314DA" w:rsidRDefault="00B314DA" w:rsidP="00B314DA">
      <w:pPr>
        <w:widowControl w:val="0"/>
        <w:autoSpaceDE w:val="0"/>
        <w:autoSpaceDN w:val="0"/>
        <w:adjustRightInd w:val="0"/>
        <w:spacing w:line="480" w:lineRule="auto"/>
        <w:ind w:left="480" w:hanging="480"/>
        <w:rPr>
          <w:rFonts w:ascii="Calibri" w:hAnsi="Calibri" w:cs="Calibri"/>
          <w:noProof/>
          <w:szCs w:val="24"/>
        </w:rPr>
      </w:pPr>
      <w:r w:rsidRPr="00B314DA">
        <w:rPr>
          <w:rFonts w:ascii="Calibri" w:hAnsi="Calibri" w:cs="Calibri"/>
          <w:noProof/>
          <w:szCs w:val="24"/>
        </w:rPr>
        <w:t xml:space="preserve">3. American Psychiatric Association (2000): </w:t>
      </w:r>
      <w:r w:rsidRPr="00B314DA">
        <w:rPr>
          <w:rFonts w:ascii="Calibri" w:hAnsi="Calibri" w:cs="Calibri"/>
          <w:i/>
          <w:iCs/>
          <w:noProof/>
          <w:szCs w:val="24"/>
        </w:rPr>
        <w:t>DSM-IV-TR</w:t>
      </w:r>
      <w:r w:rsidRPr="00B314DA">
        <w:rPr>
          <w:rFonts w:ascii="Calibri" w:hAnsi="Calibri" w:cs="Calibri"/>
          <w:noProof/>
          <w:szCs w:val="24"/>
        </w:rPr>
        <w:t xml:space="preserve">. </w:t>
      </w:r>
      <w:r w:rsidRPr="00B314DA">
        <w:rPr>
          <w:rFonts w:ascii="Calibri" w:hAnsi="Calibri" w:cs="Calibri"/>
          <w:i/>
          <w:iCs/>
          <w:noProof/>
          <w:szCs w:val="24"/>
        </w:rPr>
        <w:t>Diagnostic Stat Man Ment Disord Am Psychiatr Assoc DSM-IV-TR</w:t>
      </w:r>
      <w:r w:rsidRPr="00B314DA">
        <w:rPr>
          <w:rFonts w:ascii="Calibri" w:hAnsi="Calibri" w:cs="Calibri"/>
          <w:noProof/>
          <w:szCs w:val="24"/>
        </w:rPr>
        <w:t>. .</w:t>
      </w:r>
    </w:p>
    <w:p w14:paraId="065B9D14" w14:textId="77777777" w:rsidR="00B314DA" w:rsidRPr="00B314DA" w:rsidRDefault="00B314DA" w:rsidP="00B314DA">
      <w:pPr>
        <w:widowControl w:val="0"/>
        <w:autoSpaceDE w:val="0"/>
        <w:autoSpaceDN w:val="0"/>
        <w:adjustRightInd w:val="0"/>
        <w:spacing w:line="480" w:lineRule="auto"/>
        <w:ind w:left="480" w:hanging="480"/>
        <w:rPr>
          <w:rFonts w:ascii="Calibri" w:hAnsi="Calibri" w:cs="Calibri"/>
          <w:noProof/>
          <w:szCs w:val="24"/>
        </w:rPr>
      </w:pPr>
      <w:r w:rsidRPr="00B314DA">
        <w:rPr>
          <w:rFonts w:ascii="Calibri" w:hAnsi="Calibri" w:cs="Calibri"/>
          <w:noProof/>
          <w:szCs w:val="24"/>
        </w:rPr>
        <w:t xml:space="preserve">4. Bernstein DP, Fink L, Handelsman L, Foote J, Lovejoy M, Wenzel K, </w:t>
      </w:r>
      <w:r w:rsidRPr="00B314DA">
        <w:rPr>
          <w:rFonts w:ascii="Calibri" w:hAnsi="Calibri" w:cs="Calibri"/>
          <w:i/>
          <w:iCs/>
          <w:noProof/>
          <w:szCs w:val="24"/>
        </w:rPr>
        <w:t>et al.</w:t>
      </w:r>
      <w:r w:rsidRPr="00B314DA">
        <w:rPr>
          <w:rFonts w:ascii="Calibri" w:hAnsi="Calibri" w:cs="Calibri"/>
          <w:noProof/>
          <w:szCs w:val="24"/>
        </w:rPr>
        <w:t xml:space="preserve"> (1994): Initial reliability and validity of a new retrospective measure of child abuse and neglect. </w:t>
      </w:r>
      <w:r w:rsidRPr="00B314DA">
        <w:rPr>
          <w:rFonts w:ascii="Calibri" w:hAnsi="Calibri" w:cs="Calibri"/>
          <w:i/>
          <w:iCs/>
          <w:noProof/>
          <w:szCs w:val="24"/>
        </w:rPr>
        <w:t>Am J Psychiatry</w:t>
      </w:r>
      <w:r w:rsidRPr="00B314DA">
        <w:rPr>
          <w:rFonts w:ascii="Calibri" w:hAnsi="Calibri" w:cs="Calibri"/>
          <w:noProof/>
          <w:szCs w:val="24"/>
        </w:rPr>
        <w:t>. 151: 1132–1136.</w:t>
      </w:r>
    </w:p>
    <w:p w14:paraId="03A5BB25" w14:textId="77777777" w:rsidR="00B314DA" w:rsidRPr="00B314DA" w:rsidRDefault="00B314DA" w:rsidP="00B314DA">
      <w:pPr>
        <w:widowControl w:val="0"/>
        <w:autoSpaceDE w:val="0"/>
        <w:autoSpaceDN w:val="0"/>
        <w:adjustRightInd w:val="0"/>
        <w:spacing w:line="480" w:lineRule="auto"/>
        <w:ind w:left="480" w:hanging="480"/>
        <w:rPr>
          <w:rFonts w:ascii="Calibri" w:hAnsi="Calibri" w:cs="Calibri"/>
          <w:noProof/>
          <w:szCs w:val="24"/>
        </w:rPr>
      </w:pPr>
      <w:r w:rsidRPr="00B314DA">
        <w:rPr>
          <w:rFonts w:ascii="Calibri" w:hAnsi="Calibri" w:cs="Calibri"/>
          <w:noProof/>
          <w:szCs w:val="24"/>
        </w:rPr>
        <w:t xml:space="preserve">5. Beck AT, Ward C, Mendelson M, Mock J, Erbaugh J (1961): An inventory for measuring depression. </w:t>
      </w:r>
      <w:r w:rsidRPr="00B314DA">
        <w:rPr>
          <w:rFonts w:ascii="Calibri" w:hAnsi="Calibri" w:cs="Calibri"/>
          <w:i/>
          <w:iCs/>
          <w:noProof/>
          <w:szCs w:val="24"/>
        </w:rPr>
        <w:t>Arch Gen Psychiatry</w:t>
      </w:r>
      <w:r w:rsidRPr="00B314DA">
        <w:rPr>
          <w:rFonts w:ascii="Calibri" w:hAnsi="Calibri" w:cs="Calibri"/>
          <w:noProof/>
          <w:szCs w:val="24"/>
        </w:rPr>
        <w:t>. 4: 561–71.</w:t>
      </w:r>
    </w:p>
    <w:p w14:paraId="08093ABC" w14:textId="77777777" w:rsidR="00B314DA" w:rsidRPr="00B314DA" w:rsidRDefault="00B314DA" w:rsidP="00B314DA">
      <w:pPr>
        <w:widowControl w:val="0"/>
        <w:autoSpaceDE w:val="0"/>
        <w:autoSpaceDN w:val="0"/>
        <w:adjustRightInd w:val="0"/>
        <w:spacing w:line="480" w:lineRule="auto"/>
        <w:ind w:left="480" w:hanging="480"/>
        <w:rPr>
          <w:rFonts w:ascii="Calibri" w:hAnsi="Calibri" w:cs="Calibri"/>
          <w:noProof/>
          <w:szCs w:val="24"/>
        </w:rPr>
      </w:pPr>
      <w:r w:rsidRPr="00B314DA">
        <w:rPr>
          <w:rFonts w:ascii="Calibri" w:hAnsi="Calibri" w:cs="Calibri"/>
          <w:noProof/>
          <w:szCs w:val="24"/>
        </w:rPr>
        <w:t xml:space="preserve">6. Montgomery SA, Asberg M (1979): A new depression scale designed to be sensitive to change. </w:t>
      </w:r>
      <w:r w:rsidRPr="00B314DA">
        <w:rPr>
          <w:rFonts w:ascii="Calibri" w:hAnsi="Calibri" w:cs="Calibri"/>
          <w:i/>
          <w:iCs/>
          <w:noProof/>
          <w:szCs w:val="24"/>
        </w:rPr>
        <w:t>Br J Psychiatry</w:t>
      </w:r>
      <w:r w:rsidRPr="00B314DA">
        <w:rPr>
          <w:rFonts w:ascii="Calibri" w:hAnsi="Calibri" w:cs="Calibri"/>
          <w:noProof/>
          <w:szCs w:val="24"/>
        </w:rPr>
        <w:t>. 134: 382–9.</w:t>
      </w:r>
    </w:p>
    <w:p w14:paraId="651EEBED" w14:textId="77777777" w:rsidR="00B314DA" w:rsidRPr="00B314DA" w:rsidRDefault="00B314DA" w:rsidP="00B314DA">
      <w:pPr>
        <w:widowControl w:val="0"/>
        <w:autoSpaceDE w:val="0"/>
        <w:autoSpaceDN w:val="0"/>
        <w:adjustRightInd w:val="0"/>
        <w:spacing w:line="480" w:lineRule="auto"/>
        <w:ind w:left="480" w:hanging="480"/>
        <w:rPr>
          <w:rFonts w:ascii="Calibri" w:hAnsi="Calibri" w:cs="Calibri"/>
          <w:noProof/>
          <w:szCs w:val="24"/>
        </w:rPr>
      </w:pPr>
      <w:r w:rsidRPr="00B314DA">
        <w:rPr>
          <w:rFonts w:ascii="Calibri" w:hAnsi="Calibri" w:cs="Calibri"/>
          <w:noProof/>
          <w:szCs w:val="24"/>
        </w:rPr>
        <w:t xml:space="preserve">7. Sackeim HA (2001): The definition and meaning of treatment-resistant depression. </w:t>
      </w:r>
      <w:r w:rsidRPr="00B314DA">
        <w:rPr>
          <w:rFonts w:ascii="Calibri" w:hAnsi="Calibri" w:cs="Calibri"/>
          <w:i/>
          <w:iCs/>
          <w:noProof/>
          <w:szCs w:val="24"/>
        </w:rPr>
        <w:t>J Clin Psychiatry</w:t>
      </w:r>
      <w:r w:rsidRPr="00B314DA">
        <w:rPr>
          <w:rFonts w:ascii="Calibri" w:hAnsi="Calibri" w:cs="Calibri"/>
          <w:noProof/>
          <w:szCs w:val="24"/>
        </w:rPr>
        <w:t>. 62 Suppl 1: 10–7.</w:t>
      </w:r>
    </w:p>
    <w:p w14:paraId="6E4DD4B0" w14:textId="77777777" w:rsidR="00B314DA" w:rsidRPr="00B314DA" w:rsidRDefault="00B314DA" w:rsidP="00B314DA">
      <w:pPr>
        <w:widowControl w:val="0"/>
        <w:autoSpaceDE w:val="0"/>
        <w:autoSpaceDN w:val="0"/>
        <w:adjustRightInd w:val="0"/>
        <w:spacing w:line="480" w:lineRule="auto"/>
        <w:ind w:left="480" w:hanging="480"/>
        <w:rPr>
          <w:rFonts w:ascii="Calibri" w:hAnsi="Calibri" w:cs="Calibri"/>
          <w:noProof/>
        </w:rPr>
      </w:pPr>
      <w:r w:rsidRPr="00B314DA">
        <w:rPr>
          <w:rFonts w:ascii="Calibri" w:hAnsi="Calibri" w:cs="Calibri"/>
          <w:noProof/>
          <w:szCs w:val="24"/>
        </w:rPr>
        <w:t xml:space="preserve">8. Davis JM, Chen N (2004): Dose response and dose equivalence of antipsychotics. </w:t>
      </w:r>
      <w:r w:rsidRPr="00B314DA">
        <w:rPr>
          <w:rFonts w:ascii="Calibri" w:hAnsi="Calibri" w:cs="Calibri"/>
          <w:i/>
          <w:iCs/>
          <w:noProof/>
          <w:szCs w:val="24"/>
        </w:rPr>
        <w:t>J Clin Psychopharmacol</w:t>
      </w:r>
      <w:r w:rsidRPr="00B314DA">
        <w:rPr>
          <w:rFonts w:ascii="Calibri" w:hAnsi="Calibri" w:cs="Calibri"/>
          <w:noProof/>
          <w:szCs w:val="24"/>
        </w:rPr>
        <w:t>. 24: 192–208.</w:t>
      </w:r>
    </w:p>
    <w:p w14:paraId="7D4C3C10" w14:textId="38513286" w:rsidR="005416FF" w:rsidRPr="005416FF" w:rsidRDefault="00EE3961" w:rsidP="0015704C">
      <w:pPr>
        <w:spacing w:line="480" w:lineRule="auto"/>
        <w:rPr>
          <w:lang w:val="en-US"/>
        </w:rPr>
      </w:pPr>
      <w:r>
        <w:rPr>
          <w:lang w:val="en-US"/>
        </w:rPr>
        <w:fldChar w:fldCharType="end"/>
      </w:r>
      <w:r w:rsidR="0015704C">
        <w:rPr>
          <w:lang w:val="en-US"/>
        </w:rPr>
        <w:br w:type="page"/>
      </w:r>
    </w:p>
    <w:p w14:paraId="6E3A346F" w14:textId="1870C59F" w:rsidR="00D02658" w:rsidRPr="00345007" w:rsidRDefault="00D02658" w:rsidP="000E12A7">
      <w:pPr>
        <w:pStyle w:val="Heading1"/>
        <w:spacing w:line="480" w:lineRule="auto"/>
        <w:rPr>
          <w:rFonts w:asciiTheme="minorHAnsi" w:hAnsiTheme="minorHAnsi" w:cstheme="minorHAnsi"/>
          <w:sz w:val="22"/>
          <w:szCs w:val="22"/>
          <w:lang w:val="en-US"/>
        </w:rPr>
      </w:pPr>
      <w:r w:rsidRPr="00345007">
        <w:rPr>
          <w:rFonts w:asciiTheme="minorHAnsi" w:hAnsiTheme="minorHAnsi" w:cstheme="minorHAnsi"/>
          <w:sz w:val="22"/>
          <w:szCs w:val="22"/>
          <w:lang w:val="en-US"/>
        </w:rPr>
        <w:lastRenderedPageBreak/>
        <w:t>Figures and Tables</w:t>
      </w:r>
    </w:p>
    <w:p w14:paraId="5864A951" w14:textId="314C160F" w:rsidR="0015704C" w:rsidRDefault="0015704C">
      <w:pPr>
        <w:rPr>
          <w:lang w:val="en-US"/>
        </w:rPr>
      </w:pPr>
    </w:p>
    <w:tbl>
      <w:tblPr>
        <w:tblStyle w:val="TableGrid"/>
        <w:tblW w:w="0" w:type="auto"/>
        <w:tblLayout w:type="fixed"/>
        <w:tblLook w:val="04A0" w:firstRow="1" w:lastRow="0" w:firstColumn="1" w:lastColumn="0" w:noHBand="0" w:noVBand="1"/>
      </w:tblPr>
      <w:tblGrid>
        <w:gridCol w:w="3999"/>
        <w:gridCol w:w="1751"/>
        <w:gridCol w:w="1265"/>
        <w:gridCol w:w="667"/>
        <w:gridCol w:w="667"/>
        <w:gridCol w:w="667"/>
      </w:tblGrid>
      <w:tr w:rsidR="00124AE9" w:rsidRPr="00124AE9" w14:paraId="3524CCFE" w14:textId="77777777" w:rsidTr="00124AE9">
        <w:trPr>
          <w:trHeight w:val="300"/>
        </w:trPr>
        <w:tc>
          <w:tcPr>
            <w:tcW w:w="9016" w:type="dxa"/>
            <w:gridSpan w:val="6"/>
            <w:noWrap/>
            <w:hideMark/>
          </w:tcPr>
          <w:p w14:paraId="05875DC4" w14:textId="1537A0CA" w:rsidR="00124AE9" w:rsidRPr="00124AE9" w:rsidRDefault="00124AE9" w:rsidP="00DE0BDF">
            <w:r w:rsidRPr="00DE0BDF">
              <w:t>Table S1:</w:t>
            </w:r>
            <w:r>
              <w:t xml:space="preserve"> </w:t>
            </w:r>
            <w:r w:rsidR="00DE0BDF">
              <w:t>Relevant whole brain t-contrast results (p&gt;.001, k&gt;88) for model 1 (i.e. social&gt;non-social cues)</w:t>
            </w:r>
          </w:p>
        </w:tc>
      </w:tr>
      <w:tr w:rsidR="00124AE9" w:rsidRPr="00124AE9" w14:paraId="31C7E36E" w14:textId="77777777" w:rsidTr="00124AE9">
        <w:trPr>
          <w:trHeight w:val="300"/>
        </w:trPr>
        <w:tc>
          <w:tcPr>
            <w:tcW w:w="3999" w:type="dxa"/>
            <w:noWrap/>
            <w:hideMark/>
          </w:tcPr>
          <w:p w14:paraId="5FD90D3B" w14:textId="77777777" w:rsidR="00124AE9" w:rsidRPr="00124AE9" w:rsidRDefault="00124AE9">
            <w:r w:rsidRPr="00124AE9">
              <w:t>Contrast</w:t>
            </w:r>
          </w:p>
        </w:tc>
        <w:tc>
          <w:tcPr>
            <w:tcW w:w="1751" w:type="dxa"/>
            <w:noWrap/>
            <w:hideMark/>
          </w:tcPr>
          <w:p w14:paraId="24DD6BEC" w14:textId="77777777" w:rsidR="00124AE9" w:rsidRPr="00124AE9" w:rsidRDefault="00124AE9">
            <w:r w:rsidRPr="00124AE9">
              <w:t>Anatomic Region</w:t>
            </w:r>
          </w:p>
        </w:tc>
        <w:tc>
          <w:tcPr>
            <w:tcW w:w="1265" w:type="dxa"/>
            <w:noWrap/>
            <w:hideMark/>
          </w:tcPr>
          <w:p w14:paraId="5D820E41" w14:textId="77777777" w:rsidR="00124AE9" w:rsidRPr="00124AE9" w:rsidRDefault="00124AE9">
            <w:r w:rsidRPr="00124AE9">
              <w:t>Cluster size</w:t>
            </w:r>
          </w:p>
        </w:tc>
        <w:tc>
          <w:tcPr>
            <w:tcW w:w="2001" w:type="dxa"/>
            <w:gridSpan w:val="3"/>
            <w:noWrap/>
            <w:hideMark/>
          </w:tcPr>
          <w:p w14:paraId="6169C56D" w14:textId="77777777" w:rsidR="00124AE9" w:rsidRPr="00124AE9" w:rsidRDefault="00124AE9" w:rsidP="00124AE9">
            <w:r w:rsidRPr="00124AE9">
              <w:t>Peak MNI coordinates</w:t>
            </w:r>
          </w:p>
        </w:tc>
      </w:tr>
      <w:tr w:rsidR="00124AE9" w:rsidRPr="00124AE9" w14:paraId="294E0812" w14:textId="77777777" w:rsidTr="00124AE9">
        <w:trPr>
          <w:trHeight w:val="300"/>
        </w:trPr>
        <w:tc>
          <w:tcPr>
            <w:tcW w:w="3999" w:type="dxa"/>
            <w:noWrap/>
            <w:hideMark/>
          </w:tcPr>
          <w:p w14:paraId="5C6CBDF6" w14:textId="77777777" w:rsidR="00124AE9" w:rsidRPr="00124AE9" w:rsidRDefault="00124AE9" w:rsidP="00124AE9"/>
        </w:tc>
        <w:tc>
          <w:tcPr>
            <w:tcW w:w="1751" w:type="dxa"/>
            <w:noWrap/>
            <w:hideMark/>
          </w:tcPr>
          <w:p w14:paraId="52C07FC0" w14:textId="77777777" w:rsidR="00124AE9" w:rsidRPr="00124AE9" w:rsidRDefault="00124AE9"/>
        </w:tc>
        <w:tc>
          <w:tcPr>
            <w:tcW w:w="1265" w:type="dxa"/>
            <w:noWrap/>
            <w:hideMark/>
          </w:tcPr>
          <w:p w14:paraId="3DF1CC7B" w14:textId="77777777" w:rsidR="00124AE9" w:rsidRPr="00124AE9" w:rsidRDefault="00124AE9"/>
        </w:tc>
        <w:tc>
          <w:tcPr>
            <w:tcW w:w="667" w:type="dxa"/>
            <w:noWrap/>
            <w:hideMark/>
          </w:tcPr>
          <w:p w14:paraId="003E5B76" w14:textId="77777777" w:rsidR="00124AE9" w:rsidRPr="00124AE9" w:rsidRDefault="00124AE9">
            <w:r w:rsidRPr="00124AE9">
              <w:t>x</w:t>
            </w:r>
          </w:p>
        </w:tc>
        <w:tc>
          <w:tcPr>
            <w:tcW w:w="667" w:type="dxa"/>
            <w:noWrap/>
            <w:hideMark/>
          </w:tcPr>
          <w:p w14:paraId="734769FF" w14:textId="77777777" w:rsidR="00124AE9" w:rsidRPr="00124AE9" w:rsidRDefault="00124AE9">
            <w:r w:rsidRPr="00124AE9">
              <w:t>y</w:t>
            </w:r>
          </w:p>
        </w:tc>
        <w:tc>
          <w:tcPr>
            <w:tcW w:w="667" w:type="dxa"/>
            <w:noWrap/>
            <w:hideMark/>
          </w:tcPr>
          <w:p w14:paraId="15BA5B52" w14:textId="77777777" w:rsidR="00124AE9" w:rsidRPr="00124AE9" w:rsidRDefault="00124AE9">
            <w:r w:rsidRPr="00124AE9">
              <w:t>z</w:t>
            </w:r>
          </w:p>
        </w:tc>
      </w:tr>
      <w:tr w:rsidR="00124AE9" w:rsidRPr="00124AE9" w14:paraId="31A30D93" w14:textId="77777777" w:rsidTr="00124AE9">
        <w:trPr>
          <w:trHeight w:val="300"/>
        </w:trPr>
        <w:tc>
          <w:tcPr>
            <w:tcW w:w="3999" w:type="dxa"/>
            <w:noWrap/>
            <w:hideMark/>
          </w:tcPr>
          <w:p w14:paraId="3198659E" w14:textId="77777777" w:rsidR="00124AE9" w:rsidRPr="00124AE9" w:rsidRDefault="00124AE9">
            <w:r w:rsidRPr="00124AE9">
              <w:t>Positive Main Effect of Group (i.e. BPD&gt;HC)</w:t>
            </w:r>
          </w:p>
        </w:tc>
        <w:tc>
          <w:tcPr>
            <w:tcW w:w="5017" w:type="dxa"/>
            <w:gridSpan w:val="5"/>
            <w:noWrap/>
            <w:hideMark/>
          </w:tcPr>
          <w:p w14:paraId="3E7F3863" w14:textId="0C35F796" w:rsidR="00124AE9" w:rsidRPr="00124AE9" w:rsidRDefault="00124AE9" w:rsidP="00124AE9">
            <w:r>
              <w:t>No S</w:t>
            </w:r>
            <w:r w:rsidRPr="00124AE9">
              <w:t>ignificantly Activated Voxels</w:t>
            </w:r>
          </w:p>
        </w:tc>
      </w:tr>
      <w:tr w:rsidR="00124AE9" w:rsidRPr="00124AE9" w14:paraId="4133723D" w14:textId="77777777" w:rsidTr="00124AE9">
        <w:trPr>
          <w:trHeight w:val="300"/>
        </w:trPr>
        <w:tc>
          <w:tcPr>
            <w:tcW w:w="3999" w:type="dxa"/>
            <w:noWrap/>
            <w:hideMark/>
          </w:tcPr>
          <w:p w14:paraId="574C918C" w14:textId="77777777" w:rsidR="00124AE9" w:rsidRPr="00124AE9" w:rsidRDefault="00124AE9">
            <w:r w:rsidRPr="00124AE9">
              <w:t>Negative Main Effect of Group (i.e. HC&gt;BPD)</w:t>
            </w:r>
          </w:p>
        </w:tc>
        <w:tc>
          <w:tcPr>
            <w:tcW w:w="5017" w:type="dxa"/>
            <w:gridSpan w:val="5"/>
            <w:noWrap/>
            <w:hideMark/>
          </w:tcPr>
          <w:p w14:paraId="2F789D33" w14:textId="169B0AE3" w:rsidR="00124AE9" w:rsidRPr="00124AE9" w:rsidRDefault="00124AE9" w:rsidP="00124AE9">
            <w:r>
              <w:t>No S</w:t>
            </w:r>
            <w:r w:rsidRPr="00124AE9">
              <w:t>ignificantly Activated Voxels</w:t>
            </w:r>
          </w:p>
        </w:tc>
      </w:tr>
      <w:tr w:rsidR="00124AE9" w:rsidRPr="00124AE9" w14:paraId="3198F560" w14:textId="77777777" w:rsidTr="00124AE9">
        <w:trPr>
          <w:trHeight w:val="645"/>
        </w:trPr>
        <w:tc>
          <w:tcPr>
            <w:tcW w:w="3999" w:type="dxa"/>
            <w:hideMark/>
          </w:tcPr>
          <w:p w14:paraId="6DB2574A" w14:textId="445A31B6" w:rsidR="00124AE9" w:rsidRPr="00124AE9" w:rsidRDefault="00124AE9">
            <w:pPr>
              <w:rPr>
                <w:lang w:val="fr-FR"/>
              </w:rPr>
            </w:pPr>
            <w:r w:rsidRPr="00124AE9">
              <w:rPr>
                <w:lang w:val="fr-FR"/>
              </w:rPr>
              <w:t xml:space="preserve">Positive Interaction Group x </w:t>
            </w:r>
            <w:proofErr w:type="spellStart"/>
            <w:r w:rsidRPr="00124AE9">
              <w:rPr>
                <w:lang w:val="fr-FR"/>
              </w:rPr>
              <w:t>Cue</w:t>
            </w:r>
            <w:proofErr w:type="spellEnd"/>
            <w:r w:rsidRPr="00124AE9">
              <w:rPr>
                <w:lang w:val="fr-FR"/>
              </w:rPr>
              <w:t xml:space="preserve"> (</w:t>
            </w:r>
            <w:r w:rsidR="005416FF">
              <w:rPr>
                <w:lang w:val="fr-FR"/>
              </w:rPr>
              <w:t xml:space="preserve">i.e. BPD&gt;HC; social&gt;non-social </w:t>
            </w:r>
            <w:proofErr w:type="spellStart"/>
            <w:r w:rsidR="005416FF">
              <w:rPr>
                <w:lang w:val="fr-FR"/>
              </w:rPr>
              <w:t>C</w:t>
            </w:r>
            <w:r w:rsidRPr="00124AE9">
              <w:rPr>
                <w:lang w:val="fr-FR"/>
              </w:rPr>
              <w:t>ue</w:t>
            </w:r>
            <w:proofErr w:type="spellEnd"/>
            <w:r w:rsidRPr="00124AE9">
              <w:rPr>
                <w:lang w:val="fr-FR"/>
              </w:rPr>
              <w:t>)</w:t>
            </w:r>
          </w:p>
        </w:tc>
        <w:tc>
          <w:tcPr>
            <w:tcW w:w="1751" w:type="dxa"/>
            <w:noWrap/>
            <w:hideMark/>
          </w:tcPr>
          <w:p w14:paraId="6DCB9682" w14:textId="58AC6945" w:rsidR="00124AE9" w:rsidRPr="00124AE9" w:rsidRDefault="001C18D0">
            <w:r>
              <w:t xml:space="preserve">R. </w:t>
            </w:r>
            <w:r w:rsidR="00124AE9" w:rsidRPr="00124AE9">
              <w:t>STS</w:t>
            </w:r>
          </w:p>
        </w:tc>
        <w:tc>
          <w:tcPr>
            <w:tcW w:w="1265" w:type="dxa"/>
            <w:noWrap/>
            <w:hideMark/>
          </w:tcPr>
          <w:p w14:paraId="3659F755" w14:textId="77777777" w:rsidR="00124AE9" w:rsidRPr="00124AE9" w:rsidRDefault="00124AE9" w:rsidP="00124AE9">
            <w:r w:rsidRPr="00124AE9">
              <w:t>95</w:t>
            </w:r>
          </w:p>
        </w:tc>
        <w:tc>
          <w:tcPr>
            <w:tcW w:w="667" w:type="dxa"/>
            <w:noWrap/>
            <w:hideMark/>
          </w:tcPr>
          <w:p w14:paraId="34724654" w14:textId="77777777" w:rsidR="00124AE9" w:rsidRPr="00124AE9" w:rsidRDefault="00124AE9" w:rsidP="00124AE9">
            <w:r w:rsidRPr="00124AE9">
              <w:t>60</w:t>
            </w:r>
          </w:p>
        </w:tc>
        <w:tc>
          <w:tcPr>
            <w:tcW w:w="667" w:type="dxa"/>
            <w:noWrap/>
            <w:hideMark/>
          </w:tcPr>
          <w:p w14:paraId="1F00E52D" w14:textId="77777777" w:rsidR="00124AE9" w:rsidRPr="00124AE9" w:rsidRDefault="00124AE9" w:rsidP="00124AE9">
            <w:r w:rsidRPr="00124AE9">
              <w:t>-37</w:t>
            </w:r>
          </w:p>
        </w:tc>
        <w:tc>
          <w:tcPr>
            <w:tcW w:w="667" w:type="dxa"/>
            <w:noWrap/>
            <w:hideMark/>
          </w:tcPr>
          <w:p w14:paraId="0064AEF7" w14:textId="77777777" w:rsidR="00124AE9" w:rsidRPr="00124AE9" w:rsidRDefault="00124AE9" w:rsidP="00124AE9">
            <w:r w:rsidRPr="00124AE9">
              <w:t>-14</w:t>
            </w:r>
          </w:p>
        </w:tc>
      </w:tr>
      <w:tr w:rsidR="00124AE9" w:rsidRPr="00124AE9" w14:paraId="2FD052E8" w14:textId="77777777" w:rsidTr="00124AE9">
        <w:trPr>
          <w:trHeight w:val="600"/>
        </w:trPr>
        <w:tc>
          <w:tcPr>
            <w:tcW w:w="3999" w:type="dxa"/>
            <w:hideMark/>
          </w:tcPr>
          <w:p w14:paraId="540A2DD4" w14:textId="77777777" w:rsidR="00124AE9" w:rsidRPr="00124AE9" w:rsidRDefault="00124AE9">
            <w:r w:rsidRPr="00124AE9">
              <w:t>Negative Interaction Group x Cue (i.e. HC&gt;BPD; social&gt;non-social cue)</w:t>
            </w:r>
          </w:p>
        </w:tc>
        <w:tc>
          <w:tcPr>
            <w:tcW w:w="5017" w:type="dxa"/>
            <w:gridSpan w:val="5"/>
            <w:noWrap/>
            <w:hideMark/>
          </w:tcPr>
          <w:p w14:paraId="258D10F5" w14:textId="507BD374" w:rsidR="00124AE9" w:rsidRPr="00124AE9" w:rsidRDefault="00124AE9" w:rsidP="00124AE9">
            <w:r>
              <w:t>No S</w:t>
            </w:r>
            <w:r w:rsidRPr="00124AE9">
              <w:t>ignificantly Activated Voxels</w:t>
            </w:r>
          </w:p>
        </w:tc>
      </w:tr>
    </w:tbl>
    <w:p w14:paraId="2224800E" w14:textId="7D5B48B3" w:rsidR="00124AE9" w:rsidRDefault="00124AE9">
      <w:pPr>
        <w:rPr>
          <w:lang w:val="en-US"/>
        </w:rPr>
      </w:pPr>
    </w:p>
    <w:tbl>
      <w:tblPr>
        <w:tblStyle w:val="TableGrid"/>
        <w:tblW w:w="0" w:type="auto"/>
        <w:tblLayout w:type="fixed"/>
        <w:tblLook w:val="04A0" w:firstRow="1" w:lastRow="0" w:firstColumn="1" w:lastColumn="0" w:noHBand="0" w:noVBand="1"/>
      </w:tblPr>
      <w:tblGrid>
        <w:gridCol w:w="3955"/>
        <w:gridCol w:w="1800"/>
        <w:gridCol w:w="1260"/>
        <w:gridCol w:w="667"/>
        <w:gridCol w:w="667"/>
        <w:gridCol w:w="667"/>
      </w:tblGrid>
      <w:tr w:rsidR="00DE0BDF" w:rsidRPr="00DE0BDF" w14:paraId="0C195BD7" w14:textId="77777777" w:rsidTr="00DE0BDF">
        <w:trPr>
          <w:trHeight w:val="300"/>
        </w:trPr>
        <w:tc>
          <w:tcPr>
            <w:tcW w:w="9016" w:type="dxa"/>
            <w:gridSpan w:val="6"/>
            <w:noWrap/>
            <w:hideMark/>
          </w:tcPr>
          <w:p w14:paraId="7C3804B4" w14:textId="5013FE44" w:rsidR="00DE0BDF" w:rsidRPr="00DE0BDF" w:rsidRDefault="00746A02" w:rsidP="00DE0BDF">
            <w:r>
              <w:t>Table S2</w:t>
            </w:r>
            <w:r w:rsidR="00DE0BDF">
              <w:t>: Relevant whole brain t-contrast results (p&gt;.001, k&gt;88) for model 2 (i.e. social&gt;non-social feedbacks)</w:t>
            </w:r>
          </w:p>
        </w:tc>
      </w:tr>
      <w:tr w:rsidR="00DE0BDF" w:rsidRPr="00DE0BDF" w14:paraId="5947C8A2" w14:textId="77777777" w:rsidTr="00DE0BDF">
        <w:trPr>
          <w:trHeight w:val="300"/>
        </w:trPr>
        <w:tc>
          <w:tcPr>
            <w:tcW w:w="3955" w:type="dxa"/>
            <w:noWrap/>
            <w:hideMark/>
          </w:tcPr>
          <w:p w14:paraId="43E4F0B1" w14:textId="77777777" w:rsidR="00DE0BDF" w:rsidRPr="00DE0BDF" w:rsidRDefault="00DE0BDF">
            <w:r w:rsidRPr="00DE0BDF">
              <w:t>Contrast</w:t>
            </w:r>
          </w:p>
        </w:tc>
        <w:tc>
          <w:tcPr>
            <w:tcW w:w="1800" w:type="dxa"/>
            <w:noWrap/>
            <w:hideMark/>
          </w:tcPr>
          <w:p w14:paraId="40F288DF" w14:textId="77777777" w:rsidR="00DE0BDF" w:rsidRPr="00DE0BDF" w:rsidRDefault="00DE0BDF">
            <w:r w:rsidRPr="00DE0BDF">
              <w:t>Anatomic Region</w:t>
            </w:r>
          </w:p>
        </w:tc>
        <w:tc>
          <w:tcPr>
            <w:tcW w:w="1260" w:type="dxa"/>
            <w:noWrap/>
            <w:hideMark/>
          </w:tcPr>
          <w:p w14:paraId="3379B34C" w14:textId="77777777" w:rsidR="00DE0BDF" w:rsidRPr="00DE0BDF" w:rsidRDefault="00DE0BDF">
            <w:r w:rsidRPr="00DE0BDF">
              <w:t>Cluster size</w:t>
            </w:r>
          </w:p>
        </w:tc>
        <w:tc>
          <w:tcPr>
            <w:tcW w:w="2001" w:type="dxa"/>
            <w:gridSpan w:val="3"/>
            <w:noWrap/>
            <w:hideMark/>
          </w:tcPr>
          <w:p w14:paraId="5EE02DBE" w14:textId="77777777" w:rsidR="00DE0BDF" w:rsidRPr="00DE0BDF" w:rsidRDefault="00DE0BDF" w:rsidP="00DE0BDF">
            <w:r w:rsidRPr="00DE0BDF">
              <w:t>Peak MNI coordinates</w:t>
            </w:r>
          </w:p>
        </w:tc>
      </w:tr>
      <w:tr w:rsidR="00DE0BDF" w:rsidRPr="00DE0BDF" w14:paraId="35E39BC0" w14:textId="77777777" w:rsidTr="00DE0BDF">
        <w:trPr>
          <w:trHeight w:val="300"/>
        </w:trPr>
        <w:tc>
          <w:tcPr>
            <w:tcW w:w="3955" w:type="dxa"/>
            <w:noWrap/>
            <w:hideMark/>
          </w:tcPr>
          <w:p w14:paraId="31E8DD4C" w14:textId="77777777" w:rsidR="00DE0BDF" w:rsidRPr="00DE0BDF" w:rsidRDefault="00DE0BDF" w:rsidP="00DE0BDF"/>
        </w:tc>
        <w:tc>
          <w:tcPr>
            <w:tcW w:w="1800" w:type="dxa"/>
            <w:noWrap/>
            <w:hideMark/>
          </w:tcPr>
          <w:p w14:paraId="4D7E7C68" w14:textId="77777777" w:rsidR="00DE0BDF" w:rsidRPr="00DE0BDF" w:rsidRDefault="00DE0BDF"/>
        </w:tc>
        <w:tc>
          <w:tcPr>
            <w:tcW w:w="1260" w:type="dxa"/>
            <w:noWrap/>
            <w:hideMark/>
          </w:tcPr>
          <w:p w14:paraId="08778CC8" w14:textId="77777777" w:rsidR="00DE0BDF" w:rsidRPr="00DE0BDF" w:rsidRDefault="00DE0BDF"/>
        </w:tc>
        <w:tc>
          <w:tcPr>
            <w:tcW w:w="667" w:type="dxa"/>
            <w:noWrap/>
            <w:hideMark/>
          </w:tcPr>
          <w:p w14:paraId="6D6096D1" w14:textId="77777777" w:rsidR="00DE0BDF" w:rsidRPr="00DE0BDF" w:rsidRDefault="00DE0BDF">
            <w:r w:rsidRPr="00DE0BDF">
              <w:t>x</w:t>
            </w:r>
          </w:p>
        </w:tc>
        <w:tc>
          <w:tcPr>
            <w:tcW w:w="667" w:type="dxa"/>
            <w:noWrap/>
            <w:hideMark/>
          </w:tcPr>
          <w:p w14:paraId="2D86B8AD" w14:textId="77777777" w:rsidR="00DE0BDF" w:rsidRPr="00DE0BDF" w:rsidRDefault="00DE0BDF">
            <w:r w:rsidRPr="00DE0BDF">
              <w:t>y</w:t>
            </w:r>
          </w:p>
        </w:tc>
        <w:tc>
          <w:tcPr>
            <w:tcW w:w="667" w:type="dxa"/>
            <w:noWrap/>
            <w:hideMark/>
          </w:tcPr>
          <w:p w14:paraId="24679C4A" w14:textId="77777777" w:rsidR="00DE0BDF" w:rsidRPr="00DE0BDF" w:rsidRDefault="00DE0BDF">
            <w:r w:rsidRPr="00DE0BDF">
              <w:t>z</w:t>
            </w:r>
          </w:p>
        </w:tc>
      </w:tr>
      <w:tr w:rsidR="00DE0BDF" w:rsidRPr="00DE0BDF" w14:paraId="63AAC093" w14:textId="77777777" w:rsidTr="00DE0BDF">
        <w:trPr>
          <w:trHeight w:val="300"/>
        </w:trPr>
        <w:tc>
          <w:tcPr>
            <w:tcW w:w="3955" w:type="dxa"/>
            <w:noWrap/>
            <w:hideMark/>
          </w:tcPr>
          <w:p w14:paraId="77DAD88F" w14:textId="7A61AD7B" w:rsidR="00DE0BDF" w:rsidRPr="00DE0BDF" w:rsidRDefault="00DE0BDF">
            <w:r w:rsidRPr="00DE0BDF">
              <w:t xml:space="preserve">All Group </w:t>
            </w:r>
            <w:r>
              <w:t xml:space="preserve">Main Effects and </w:t>
            </w:r>
            <w:r w:rsidRPr="00DE0BDF">
              <w:t>Interactions</w:t>
            </w:r>
          </w:p>
        </w:tc>
        <w:tc>
          <w:tcPr>
            <w:tcW w:w="5061" w:type="dxa"/>
            <w:gridSpan w:val="5"/>
            <w:noWrap/>
            <w:hideMark/>
          </w:tcPr>
          <w:p w14:paraId="21B2CE8D" w14:textId="77777777" w:rsidR="00DE0BDF" w:rsidRPr="00DE0BDF" w:rsidRDefault="00DE0BDF" w:rsidP="00DE0BDF">
            <w:r w:rsidRPr="00DE0BDF">
              <w:t>No significantly activated voxels</w:t>
            </w:r>
          </w:p>
        </w:tc>
      </w:tr>
    </w:tbl>
    <w:p w14:paraId="6B07CAA6" w14:textId="77777777" w:rsidR="00124AE9" w:rsidRDefault="00124AE9">
      <w:pPr>
        <w:rPr>
          <w:lang w:val="en-US"/>
        </w:rPr>
      </w:pPr>
    </w:p>
    <w:tbl>
      <w:tblPr>
        <w:tblStyle w:val="TableGrid"/>
        <w:tblW w:w="0" w:type="auto"/>
        <w:tblLayout w:type="fixed"/>
        <w:tblLook w:val="04A0" w:firstRow="1" w:lastRow="0" w:firstColumn="1" w:lastColumn="0" w:noHBand="0" w:noVBand="1"/>
      </w:tblPr>
      <w:tblGrid>
        <w:gridCol w:w="3955"/>
        <w:gridCol w:w="1800"/>
        <w:gridCol w:w="1260"/>
        <w:gridCol w:w="667"/>
        <w:gridCol w:w="667"/>
        <w:gridCol w:w="667"/>
      </w:tblGrid>
      <w:tr w:rsidR="00FC7227" w:rsidRPr="00FC7227" w14:paraId="54C7604D" w14:textId="77777777" w:rsidTr="00124AE9">
        <w:trPr>
          <w:trHeight w:val="300"/>
        </w:trPr>
        <w:tc>
          <w:tcPr>
            <w:tcW w:w="9016" w:type="dxa"/>
            <w:gridSpan w:val="6"/>
            <w:noWrap/>
            <w:hideMark/>
          </w:tcPr>
          <w:p w14:paraId="7E105CDC" w14:textId="22496CBF" w:rsidR="00FC7227" w:rsidRPr="00FC7227" w:rsidRDefault="00FC7227" w:rsidP="00DE0BDF">
            <w:r w:rsidRPr="00FC7227">
              <w:t>Table S</w:t>
            </w:r>
            <w:r w:rsidR="00DE0BDF">
              <w:t>3</w:t>
            </w:r>
            <w:r>
              <w:t xml:space="preserve">. </w:t>
            </w:r>
            <w:r w:rsidR="00DE0BDF">
              <w:t>Relevant whole brain t-contrast results (p&gt;.001, k&gt;88) for model 3 (i.e. social&gt;non-social cue amygdala regression)</w:t>
            </w:r>
          </w:p>
        </w:tc>
      </w:tr>
      <w:tr w:rsidR="00124AE9" w:rsidRPr="00FC7227" w14:paraId="656B860D" w14:textId="77777777" w:rsidTr="00DE0BDF">
        <w:trPr>
          <w:trHeight w:val="300"/>
        </w:trPr>
        <w:tc>
          <w:tcPr>
            <w:tcW w:w="3955" w:type="dxa"/>
            <w:noWrap/>
            <w:hideMark/>
          </w:tcPr>
          <w:p w14:paraId="7FC657E4" w14:textId="77777777" w:rsidR="00FC7227" w:rsidRPr="00FC7227" w:rsidRDefault="00FC7227">
            <w:r w:rsidRPr="00FC7227">
              <w:t>Contrast</w:t>
            </w:r>
          </w:p>
        </w:tc>
        <w:tc>
          <w:tcPr>
            <w:tcW w:w="1800" w:type="dxa"/>
            <w:noWrap/>
            <w:hideMark/>
          </w:tcPr>
          <w:p w14:paraId="7726B192" w14:textId="77777777" w:rsidR="00FC7227" w:rsidRPr="00FC7227" w:rsidRDefault="00FC7227">
            <w:r w:rsidRPr="00FC7227">
              <w:t>Anatomic Region</w:t>
            </w:r>
          </w:p>
        </w:tc>
        <w:tc>
          <w:tcPr>
            <w:tcW w:w="1260" w:type="dxa"/>
            <w:noWrap/>
            <w:hideMark/>
          </w:tcPr>
          <w:p w14:paraId="22773609" w14:textId="77777777" w:rsidR="00FC7227" w:rsidRPr="00FC7227" w:rsidRDefault="00FC7227">
            <w:r w:rsidRPr="00FC7227">
              <w:t>Cluster size</w:t>
            </w:r>
          </w:p>
        </w:tc>
        <w:tc>
          <w:tcPr>
            <w:tcW w:w="2001" w:type="dxa"/>
            <w:gridSpan w:val="3"/>
            <w:noWrap/>
            <w:hideMark/>
          </w:tcPr>
          <w:p w14:paraId="5260C4D2" w14:textId="77777777" w:rsidR="00FC7227" w:rsidRPr="00FC7227" w:rsidRDefault="00FC7227" w:rsidP="00FC7227">
            <w:r w:rsidRPr="00FC7227">
              <w:t>Peak MNI coordinates</w:t>
            </w:r>
          </w:p>
        </w:tc>
      </w:tr>
      <w:tr w:rsidR="00124AE9" w:rsidRPr="00FC7227" w14:paraId="6896B030" w14:textId="77777777" w:rsidTr="00DE0BDF">
        <w:trPr>
          <w:trHeight w:val="300"/>
        </w:trPr>
        <w:tc>
          <w:tcPr>
            <w:tcW w:w="3955" w:type="dxa"/>
            <w:noWrap/>
            <w:hideMark/>
          </w:tcPr>
          <w:p w14:paraId="690291CA" w14:textId="77777777" w:rsidR="00FC7227" w:rsidRPr="00FC7227" w:rsidRDefault="00FC7227" w:rsidP="00FC7227"/>
        </w:tc>
        <w:tc>
          <w:tcPr>
            <w:tcW w:w="1800" w:type="dxa"/>
            <w:noWrap/>
            <w:hideMark/>
          </w:tcPr>
          <w:p w14:paraId="229FCFE5" w14:textId="77777777" w:rsidR="00FC7227" w:rsidRPr="00FC7227" w:rsidRDefault="00FC7227"/>
        </w:tc>
        <w:tc>
          <w:tcPr>
            <w:tcW w:w="1260" w:type="dxa"/>
            <w:noWrap/>
            <w:hideMark/>
          </w:tcPr>
          <w:p w14:paraId="67F7520A" w14:textId="77777777" w:rsidR="00FC7227" w:rsidRPr="00FC7227" w:rsidRDefault="00FC7227"/>
        </w:tc>
        <w:tc>
          <w:tcPr>
            <w:tcW w:w="667" w:type="dxa"/>
            <w:noWrap/>
            <w:hideMark/>
          </w:tcPr>
          <w:p w14:paraId="16133F46" w14:textId="77777777" w:rsidR="00FC7227" w:rsidRPr="00FC7227" w:rsidRDefault="00FC7227">
            <w:r w:rsidRPr="00FC7227">
              <w:t>x</w:t>
            </w:r>
          </w:p>
        </w:tc>
        <w:tc>
          <w:tcPr>
            <w:tcW w:w="667" w:type="dxa"/>
            <w:noWrap/>
            <w:hideMark/>
          </w:tcPr>
          <w:p w14:paraId="7B6F1AA5" w14:textId="77777777" w:rsidR="00FC7227" w:rsidRPr="00FC7227" w:rsidRDefault="00FC7227">
            <w:r w:rsidRPr="00FC7227">
              <w:t>y</w:t>
            </w:r>
          </w:p>
        </w:tc>
        <w:tc>
          <w:tcPr>
            <w:tcW w:w="667" w:type="dxa"/>
            <w:noWrap/>
            <w:hideMark/>
          </w:tcPr>
          <w:p w14:paraId="705E3150" w14:textId="77777777" w:rsidR="00FC7227" w:rsidRPr="00FC7227" w:rsidRDefault="00FC7227">
            <w:r w:rsidRPr="00FC7227">
              <w:t>z</w:t>
            </w:r>
          </w:p>
        </w:tc>
      </w:tr>
      <w:tr w:rsidR="00FC7227" w:rsidRPr="00FC7227" w14:paraId="07B9B269" w14:textId="77777777" w:rsidTr="00DE0BDF">
        <w:trPr>
          <w:trHeight w:val="300"/>
        </w:trPr>
        <w:tc>
          <w:tcPr>
            <w:tcW w:w="3955" w:type="dxa"/>
            <w:noWrap/>
            <w:hideMark/>
          </w:tcPr>
          <w:p w14:paraId="77F21174" w14:textId="77777777" w:rsidR="00FC7227" w:rsidRPr="00FC7227" w:rsidRDefault="00FC7227">
            <w:r w:rsidRPr="00FC7227">
              <w:t>Positive BPD regression</w:t>
            </w:r>
          </w:p>
        </w:tc>
        <w:tc>
          <w:tcPr>
            <w:tcW w:w="5061" w:type="dxa"/>
            <w:gridSpan w:val="5"/>
            <w:noWrap/>
            <w:hideMark/>
          </w:tcPr>
          <w:p w14:paraId="1C947E30" w14:textId="77777777" w:rsidR="00FC7227" w:rsidRPr="00FC7227" w:rsidRDefault="00FC7227" w:rsidP="00FC7227">
            <w:r w:rsidRPr="00FC7227">
              <w:t>No significantly activated voxels</w:t>
            </w:r>
          </w:p>
        </w:tc>
      </w:tr>
      <w:tr w:rsidR="00124AE9" w:rsidRPr="00FC7227" w14:paraId="0FACAC28" w14:textId="77777777" w:rsidTr="00DE0BDF">
        <w:trPr>
          <w:trHeight w:val="300"/>
        </w:trPr>
        <w:tc>
          <w:tcPr>
            <w:tcW w:w="3955" w:type="dxa"/>
            <w:vMerge w:val="restart"/>
            <w:noWrap/>
            <w:hideMark/>
          </w:tcPr>
          <w:p w14:paraId="79FE17BE" w14:textId="77777777" w:rsidR="00FC7227" w:rsidRPr="00FC7227" w:rsidRDefault="00FC7227" w:rsidP="00FC7227">
            <w:r w:rsidRPr="00FC7227">
              <w:t>Negative BPD regression</w:t>
            </w:r>
          </w:p>
        </w:tc>
        <w:tc>
          <w:tcPr>
            <w:tcW w:w="1800" w:type="dxa"/>
            <w:vMerge w:val="restart"/>
            <w:noWrap/>
            <w:hideMark/>
          </w:tcPr>
          <w:p w14:paraId="23E1DDAB" w14:textId="77777777" w:rsidR="00FC7227" w:rsidRPr="00FC7227" w:rsidRDefault="00FC7227" w:rsidP="00FC7227">
            <w:r w:rsidRPr="00FC7227">
              <w:t>pgACC/R. Middle Frontal gyrus</w:t>
            </w:r>
          </w:p>
        </w:tc>
        <w:tc>
          <w:tcPr>
            <w:tcW w:w="1260" w:type="dxa"/>
            <w:vMerge w:val="restart"/>
            <w:noWrap/>
            <w:hideMark/>
          </w:tcPr>
          <w:p w14:paraId="2B01B686" w14:textId="77777777" w:rsidR="00FC7227" w:rsidRPr="00FC7227" w:rsidRDefault="00FC7227" w:rsidP="00FC7227">
            <w:r w:rsidRPr="00FC7227">
              <w:t>195</w:t>
            </w:r>
          </w:p>
        </w:tc>
        <w:tc>
          <w:tcPr>
            <w:tcW w:w="667" w:type="dxa"/>
            <w:noWrap/>
            <w:hideMark/>
          </w:tcPr>
          <w:p w14:paraId="7BC3FE81" w14:textId="77777777" w:rsidR="00FC7227" w:rsidRPr="00FC7227" w:rsidRDefault="00FC7227" w:rsidP="00FC7227">
            <w:r w:rsidRPr="00FC7227">
              <w:t>9</w:t>
            </w:r>
          </w:p>
        </w:tc>
        <w:tc>
          <w:tcPr>
            <w:tcW w:w="667" w:type="dxa"/>
            <w:noWrap/>
            <w:hideMark/>
          </w:tcPr>
          <w:p w14:paraId="2907942D" w14:textId="77777777" w:rsidR="00FC7227" w:rsidRPr="00FC7227" w:rsidRDefault="00FC7227" w:rsidP="00FC7227">
            <w:r w:rsidRPr="00FC7227">
              <w:t>38</w:t>
            </w:r>
          </w:p>
        </w:tc>
        <w:tc>
          <w:tcPr>
            <w:tcW w:w="667" w:type="dxa"/>
            <w:noWrap/>
            <w:hideMark/>
          </w:tcPr>
          <w:p w14:paraId="22CC38D3" w14:textId="77777777" w:rsidR="00FC7227" w:rsidRPr="00FC7227" w:rsidRDefault="00FC7227" w:rsidP="00FC7227">
            <w:r w:rsidRPr="00FC7227">
              <w:t>10</w:t>
            </w:r>
          </w:p>
        </w:tc>
      </w:tr>
      <w:tr w:rsidR="00124AE9" w:rsidRPr="00FC7227" w14:paraId="2FC18E0A" w14:textId="77777777" w:rsidTr="00DE0BDF">
        <w:trPr>
          <w:trHeight w:val="300"/>
        </w:trPr>
        <w:tc>
          <w:tcPr>
            <w:tcW w:w="3955" w:type="dxa"/>
            <w:vMerge/>
            <w:hideMark/>
          </w:tcPr>
          <w:p w14:paraId="6E55222A" w14:textId="77777777" w:rsidR="00FC7227" w:rsidRPr="00FC7227" w:rsidRDefault="00FC7227"/>
        </w:tc>
        <w:tc>
          <w:tcPr>
            <w:tcW w:w="1800" w:type="dxa"/>
            <w:vMerge/>
            <w:hideMark/>
          </w:tcPr>
          <w:p w14:paraId="530CA8D5" w14:textId="77777777" w:rsidR="00FC7227" w:rsidRPr="00FC7227" w:rsidRDefault="00FC7227"/>
        </w:tc>
        <w:tc>
          <w:tcPr>
            <w:tcW w:w="1260" w:type="dxa"/>
            <w:vMerge/>
            <w:hideMark/>
          </w:tcPr>
          <w:p w14:paraId="27B5CBB9" w14:textId="77777777" w:rsidR="00FC7227" w:rsidRPr="00FC7227" w:rsidRDefault="00FC7227"/>
        </w:tc>
        <w:tc>
          <w:tcPr>
            <w:tcW w:w="667" w:type="dxa"/>
            <w:noWrap/>
            <w:hideMark/>
          </w:tcPr>
          <w:p w14:paraId="0455319B" w14:textId="77777777" w:rsidR="00FC7227" w:rsidRPr="00FC7227" w:rsidRDefault="00FC7227" w:rsidP="00FC7227">
            <w:r w:rsidRPr="00FC7227">
              <w:t>3</w:t>
            </w:r>
          </w:p>
        </w:tc>
        <w:tc>
          <w:tcPr>
            <w:tcW w:w="667" w:type="dxa"/>
            <w:noWrap/>
            <w:hideMark/>
          </w:tcPr>
          <w:p w14:paraId="535CC007" w14:textId="77777777" w:rsidR="00FC7227" w:rsidRPr="00FC7227" w:rsidRDefault="00FC7227" w:rsidP="00FC7227">
            <w:r w:rsidRPr="00FC7227">
              <w:t>7</w:t>
            </w:r>
          </w:p>
        </w:tc>
        <w:tc>
          <w:tcPr>
            <w:tcW w:w="667" w:type="dxa"/>
            <w:noWrap/>
            <w:hideMark/>
          </w:tcPr>
          <w:p w14:paraId="283FB9A4" w14:textId="77777777" w:rsidR="00FC7227" w:rsidRPr="00FC7227" w:rsidRDefault="00FC7227" w:rsidP="00FC7227">
            <w:r w:rsidRPr="00FC7227">
              <w:t>13</w:t>
            </w:r>
          </w:p>
        </w:tc>
      </w:tr>
      <w:tr w:rsidR="00124AE9" w:rsidRPr="00FC7227" w14:paraId="0C1033FE" w14:textId="77777777" w:rsidTr="00DE0BDF">
        <w:trPr>
          <w:trHeight w:val="300"/>
        </w:trPr>
        <w:tc>
          <w:tcPr>
            <w:tcW w:w="3955" w:type="dxa"/>
            <w:vMerge/>
            <w:hideMark/>
          </w:tcPr>
          <w:p w14:paraId="2F72D7B9" w14:textId="77777777" w:rsidR="00FC7227" w:rsidRPr="00FC7227" w:rsidRDefault="00FC7227"/>
        </w:tc>
        <w:tc>
          <w:tcPr>
            <w:tcW w:w="1800" w:type="dxa"/>
            <w:noWrap/>
            <w:hideMark/>
          </w:tcPr>
          <w:p w14:paraId="63CA8FA0" w14:textId="5A65A93C" w:rsidR="00FC7227" w:rsidRPr="00FC7227" w:rsidRDefault="00FC7227">
            <w:r w:rsidRPr="00FC7227">
              <w:t>L. Putamen</w:t>
            </w:r>
            <w:r w:rsidR="008E1C63">
              <w:t>/L. Caudate</w:t>
            </w:r>
          </w:p>
        </w:tc>
        <w:tc>
          <w:tcPr>
            <w:tcW w:w="1260" w:type="dxa"/>
            <w:noWrap/>
            <w:hideMark/>
          </w:tcPr>
          <w:p w14:paraId="6CF4C889" w14:textId="77777777" w:rsidR="00FC7227" w:rsidRPr="00FC7227" w:rsidRDefault="00FC7227" w:rsidP="00FC7227">
            <w:r w:rsidRPr="00FC7227">
              <w:t>103</w:t>
            </w:r>
          </w:p>
        </w:tc>
        <w:tc>
          <w:tcPr>
            <w:tcW w:w="667" w:type="dxa"/>
            <w:noWrap/>
            <w:hideMark/>
          </w:tcPr>
          <w:p w14:paraId="05BE20B1" w14:textId="77777777" w:rsidR="00FC7227" w:rsidRPr="00FC7227" w:rsidRDefault="00FC7227" w:rsidP="00FC7227">
            <w:r w:rsidRPr="00FC7227">
              <w:t>-24</w:t>
            </w:r>
          </w:p>
        </w:tc>
        <w:tc>
          <w:tcPr>
            <w:tcW w:w="667" w:type="dxa"/>
            <w:noWrap/>
            <w:hideMark/>
          </w:tcPr>
          <w:p w14:paraId="69F8CF96" w14:textId="77777777" w:rsidR="00FC7227" w:rsidRPr="00FC7227" w:rsidRDefault="00FC7227" w:rsidP="00FC7227">
            <w:r w:rsidRPr="00FC7227">
              <w:t>-4</w:t>
            </w:r>
          </w:p>
        </w:tc>
        <w:tc>
          <w:tcPr>
            <w:tcW w:w="667" w:type="dxa"/>
            <w:noWrap/>
            <w:hideMark/>
          </w:tcPr>
          <w:p w14:paraId="09408A8F" w14:textId="77777777" w:rsidR="00FC7227" w:rsidRPr="00FC7227" w:rsidRDefault="00FC7227" w:rsidP="00FC7227">
            <w:r w:rsidRPr="00FC7227">
              <w:t>4</w:t>
            </w:r>
          </w:p>
        </w:tc>
      </w:tr>
      <w:tr w:rsidR="00124AE9" w:rsidRPr="00FC7227" w14:paraId="5F682E9F" w14:textId="77777777" w:rsidTr="00DE0BDF">
        <w:trPr>
          <w:trHeight w:val="300"/>
        </w:trPr>
        <w:tc>
          <w:tcPr>
            <w:tcW w:w="3955" w:type="dxa"/>
            <w:vMerge/>
            <w:hideMark/>
          </w:tcPr>
          <w:p w14:paraId="64A758E9" w14:textId="77777777" w:rsidR="00FC7227" w:rsidRPr="00FC7227" w:rsidRDefault="00FC7227"/>
        </w:tc>
        <w:tc>
          <w:tcPr>
            <w:tcW w:w="1800" w:type="dxa"/>
            <w:noWrap/>
            <w:hideMark/>
          </w:tcPr>
          <w:p w14:paraId="030AC0FC" w14:textId="77777777" w:rsidR="00FC7227" w:rsidRPr="00FC7227" w:rsidRDefault="00FC7227">
            <w:r w:rsidRPr="00FC7227">
              <w:t>L. Middle Frontal Gyrus</w:t>
            </w:r>
          </w:p>
        </w:tc>
        <w:tc>
          <w:tcPr>
            <w:tcW w:w="1260" w:type="dxa"/>
            <w:noWrap/>
            <w:hideMark/>
          </w:tcPr>
          <w:p w14:paraId="4E9A2AF5" w14:textId="77777777" w:rsidR="00FC7227" w:rsidRPr="00FC7227" w:rsidRDefault="00FC7227" w:rsidP="00FC7227">
            <w:r w:rsidRPr="00FC7227">
              <w:t>92</w:t>
            </w:r>
          </w:p>
        </w:tc>
        <w:tc>
          <w:tcPr>
            <w:tcW w:w="667" w:type="dxa"/>
            <w:noWrap/>
            <w:hideMark/>
          </w:tcPr>
          <w:p w14:paraId="0B6EE7AE" w14:textId="77777777" w:rsidR="00FC7227" w:rsidRPr="00FC7227" w:rsidRDefault="00FC7227" w:rsidP="00FC7227">
            <w:r w:rsidRPr="00FC7227">
              <w:t>-27</w:t>
            </w:r>
          </w:p>
        </w:tc>
        <w:tc>
          <w:tcPr>
            <w:tcW w:w="667" w:type="dxa"/>
            <w:noWrap/>
            <w:hideMark/>
          </w:tcPr>
          <w:p w14:paraId="38BAAD31" w14:textId="77777777" w:rsidR="00FC7227" w:rsidRPr="00FC7227" w:rsidRDefault="00FC7227" w:rsidP="00FC7227">
            <w:r w:rsidRPr="00FC7227">
              <w:t>47</w:t>
            </w:r>
          </w:p>
        </w:tc>
        <w:tc>
          <w:tcPr>
            <w:tcW w:w="667" w:type="dxa"/>
            <w:noWrap/>
            <w:hideMark/>
          </w:tcPr>
          <w:p w14:paraId="6C93065E" w14:textId="77777777" w:rsidR="00FC7227" w:rsidRPr="00FC7227" w:rsidRDefault="00FC7227" w:rsidP="00FC7227">
            <w:r w:rsidRPr="00FC7227">
              <w:t>13</w:t>
            </w:r>
          </w:p>
        </w:tc>
      </w:tr>
      <w:tr w:rsidR="00FC7227" w:rsidRPr="00FC7227" w14:paraId="689E7072" w14:textId="77777777" w:rsidTr="00DE0BDF">
        <w:trPr>
          <w:trHeight w:val="300"/>
        </w:trPr>
        <w:tc>
          <w:tcPr>
            <w:tcW w:w="3955" w:type="dxa"/>
            <w:noWrap/>
            <w:hideMark/>
          </w:tcPr>
          <w:p w14:paraId="3AD167F2" w14:textId="77777777" w:rsidR="00FC7227" w:rsidRPr="00FC7227" w:rsidRDefault="00FC7227">
            <w:r w:rsidRPr="00FC7227">
              <w:t>BPD&gt;HC</w:t>
            </w:r>
          </w:p>
        </w:tc>
        <w:tc>
          <w:tcPr>
            <w:tcW w:w="5061" w:type="dxa"/>
            <w:gridSpan w:val="5"/>
            <w:noWrap/>
            <w:hideMark/>
          </w:tcPr>
          <w:p w14:paraId="0E8D951F" w14:textId="77777777" w:rsidR="00FC7227" w:rsidRPr="00FC7227" w:rsidRDefault="00FC7227" w:rsidP="00FC7227">
            <w:r w:rsidRPr="00FC7227">
              <w:t>No significantly activated voxels</w:t>
            </w:r>
          </w:p>
        </w:tc>
      </w:tr>
      <w:tr w:rsidR="00124AE9" w:rsidRPr="00FC7227" w14:paraId="1E69BA73" w14:textId="77777777" w:rsidTr="00DE0BDF">
        <w:trPr>
          <w:trHeight w:val="300"/>
        </w:trPr>
        <w:tc>
          <w:tcPr>
            <w:tcW w:w="3955" w:type="dxa"/>
            <w:noWrap/>
            <w:hideMark/>
          </w:tcPr>
          <w:p w14:paraId="214CA95F" w14:textId="77777777" w:rsidR="00FC7227" w:rsidRPr="00FC7227" w:rsidRDefault="00FC7227">
            <w:r w:rsidRPr="00FC7227">
              <w:t>HC&gt;BPD</w:t>
            </w:r>
          </w:p>
        </w:tc>
        <w:tc>
          <w:tcPr>
            <w:tcW w:w="1800" w:type="dxa"/>
            <w:noWrap/>
            <w:hideMark/>
          </w:tcPr>
          <w:p w14:paraId="150A60D4" w14:textId="77777777" w:rsidR="00FC7227" w:rsidRPr="00FC7227" w:rsidRDefault="00FC7227">
            <w:r w:rsidRPr="00FC7227">
              <w:t>pgACC</w:t>
            </w:r>
          </w:p>
        </w:tc>
        <w:tc>
          <w:tcPr>
            <w:tcW w:w="1260" w:type="dxa"/>
            <w:noWrap/>
            <w:hideMark/>
          </w:tcPr>
          <w:p w14:paraId="4A316B26" w14:textId="77777777" w:rsidR="00FC7227" w:rsidRPr="00FC7227" w:rsidRDefault="00FC7227" w:rsidP="00FC7227">
            <w:r w:rsidRPr="00FC7227">
              <w:t>93</w:t>
            </w:r>
          </w:p>
        </w:tc>
        <w:tc>
          <w:tcPr>
            <w:tcW w:w="667" w:type="dxa"/>
            <w:noWrap/>
            <w:hideMark/>
          </w:tcPr>
          <w:p w14:paraId="64E86B3E" w14:textId="77777777" w:rsidR="00FC7227" w:rsidRPr="00FC7227" w:rsidRDefault="00FC7227" w:rsidP="00FC7227">
            <w:r w:rsidRPr="00FC7227">
              <w:t>9</w:t>
            </w:r>
          </w:p>
        </w:tc>
        <w:tc>
          <w:tcPr>
            <w:tcW w:w="667" w:type="dxa"/>
            <w:noWrap/>
            <w:hideMark/>
          </w:tcPr>
          <w:p w14:paraId="43670C94" w14:textId="77777777" w:rsidR="00FC7227" w:rsidRPr="00FC7227" w:rsidRDefault="00FC7227" w:rsidP="00FC7227">
            <w:r w:rsidRPr="00FC7227">
              <w:t>41</w:t>
            </w:r>
          </w:p>
        </w:tc>
        <w:tc>
          <w:tcPr>
            <w:tcW w:w="667" w:type="dxa"/>
            <w:noWrap/>
            <w:hideMark/>
          </w:tcPr>
          <w:p w14:paraId="635A688C" w14:textId="77777777" w:rsidR="00FC7227" w:rsidRPr="00FC7227" w:rsidRDefault="00FC7227" w:rsidP="00FC7227">
            <w:r w:rsidRPr="00FC7227">
              <w:t>10</w:t>
            </w:r>
          </w:p>
        </w:tc>
      </w:tr>
    </w:tbl>
    <w:p w14:paraId="4ABFF366" w14:textId="53E28BB0" w:rsidR="0015704C" w:rsidRDefault="0015704C">
      <w:pPr>
        <w:rPr>
          <w:lang w:val="en-US"/>
        </w:rPr>
      </w:pPr>
      <w:r>
        <w:rPr>
          <w:lang w:val="en-US"/>
        </w:rPr>
        <w:br w:type="page"/>
      </w:r>
    </w:p>
    <w:tbl>
      <w:tblP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952"/>
        <w:gridCol w:w="1481"/>
        <w:gridCol w:w="2063"/>
      </w:tblGrid>
      <w:tr w:rsidR="00DE0BDF" w:rsidRPr="00AC5992" w14:paraId="453562B9" w14:textId="77777777" w:rsidTr="00C10D31">
        <w:trPr>
          <w:trHeight w:val="270"/>
        </w:trPr>
        <w:tc>
          <w:tcPr>
            <w:tcW w:w="6941" w:type="dxa"/>
            <w:gridSpan w:val="4"/>
          </w:tcPr>
          <w:p w14:paraId="61A655C5" w14:textId="758618EA" w:rsidR="00DE0BDF" w:rsidRPr="00AC5992" w:rsidRDefault="00DE0BDF" w:rsidP="00AC5992">
            <w:pPr>
              <w:spacing w:after="0" w:line="240" w:lineRule="auto"/>
              <w:rPr>
                <w:rFonts w:eastAsia="Times New Roman" w:cstheme="minorHAnsi"/>
              </w:rPr>
            </w:pPr>
            <w:r w:rsidRPr="00283FEE">
              <w:rPr>
                <w:rFonts w:eastAsia="Times New Roman" w:cstheme="minorHAnsi"/>
              </w:rPr>
              <w:lastRenderedPageBreak/>
              <w:t>Table S4.</w:t>
            </w:r>
            <w:r w:rsidRPr="00AC5992">
              <w:rPr>
                <w:rFonts w:eastAsia="Times New Roman" w:cstheme="minorHAnsi"/>
                <w:b/>
              </w:rPr>
              <w:t xml:space="preserve"> </w:t>
            </w:r>
            <w:r w:rsidR="00AC5992" w:rsidRPr="00AC5992">
              <w:rPr>
                <w:rFonts w:eastAsia="Times New Roman" w:cstheme="minorHAnsi"/>
              </w:rPr>
              <w:t>The effects of Medication load</w:t>
            </w:r>
            <w:r w:rsidRPr="00AC5992">
              <w:rPr>
                <w:rFonts w:eastAsia="Times New Roman" w:cstheme="minorHAnsi"/>
              </w:rPr>
              <w:t xml:space="preserve"> </w:t>
            </w:r>
            <w:r w:rsidR="00AC5992" w:rsidRPr="00AC5992">
              <w:rPr>
                <w:rFonts w:eastAsia="Times New Roman" w:cstheme="minorHAnsi"/>
              </w:rPr>
              <w:t xml:space="preserve">on significantly activated brain regions </w:t>
            </w:r>
            <w:r w:rsidRPr="00AC5992">
              <w:rPr>
                <w:rFonts w:eastAsia="Times New Roman" w:cstheme="minorHAnsi"/>
              </w:rPr>
              <w:t xml:space="preserve">in the BPD </w:t>
            </w:r>
            <w:r w:rsidR="00AC5992" w:rsidRPr="00AC5992">
              <w:rPr>
                <w:rFonts w:eastAsia="Times New Roman" w:cstheme="minorHAnsi"/>
              </w:rPr>
              <w:t>group (N=21)</w:t>
            </w:r>
          </w:p>
        </w:tc>
      </w:tr>
      <w:tr w:rsidR="00DE0BDF" w:rsidRPr="00AC5992" w14:paraId="5CC25874" w14:textId="77777777" w:rsidTr="00C10D31">
        <w:trPr>
          <w:trHeight w:val="241"/>
        </w:trPr>
        <w:tc>
          <w:tcPr>
            <w:tcW w:w="6941" w:type="dxa"/>
            <w:gridSpan w:val="4"/>
          </w:tcPr>
          <w:p w14:paraId="2C192C39" w14:textId="0644E14D" w:rsidR="00DE0BDF" w:rsidRPr="00AC5992" w:rsidRDefault="00746A02" w:rsidP="00C10D31">
            <w:pPr>
              <w:spacing w:after="0" w:line="240" w:lineRule="auto"/>
              <w:rPr>
                <w:rFonts w:eastAsia="Times New Roman" w:cstheme="minorHAnsi"/>
                <w:b/>
              </w:rPr>
            </w:pPr>
            <w:r w:rsidRPr="00AC5992">
              <w:rPr>
                <w:rFonts w:eastAsia="Times New Roman" w:cstheme="minorHAnsi"/>
                <w:b/>
              </w:rPr>
              <w:t>Model 1: Cues</w:t>
            </w:r>
          </w:p>
        </w:tc>
      </w:tr>
      <w:tr w:rsidR="00746A02" w:rsidRPr="00AC5992" w14:paraId="3B829925" w14:textId="77777777" w:rsidTr="001E4F5C">
        <w:trPr>
          <w:trHeight w:val="241"/>
        </w:trPr>
        <w:tc>
          <w:tcPr>
            <w:tcW w:w="445" w:type="dxa"/>
            <w:vMerge w:val="restart"/>
          </w:tcPr>
          <w:p w14:paraId="26C83A80" w14:textId="77777777" w:rsidR="00746A02" w:rsidRPr="00AC5992" w:rsidRDefault="00746A02" w:rsidP="00C10D31">
            <w:pPr>
              <w:spacing w:after="0" w:line="240" w:lineRule="auto"/>
              <w:rPr>
                <w:rFonts w:eastAsia="Times New Roman" w:cstheme="minorHAnsi"/>
                <w:i/>
              </w:rPr>
            </w:pPr>
          </w:p>
        </w:tc>
        <w:tc>
          <w:tcPr>
            <w:tcW w:w="6496" w:type="dxa"/>
            <w:gridSpan w:val="3"/>
          </w:tcPr>
          <w:p w14:paraId="4098A870" w14:textId="4DA6162A" w:rsidR="00746A02" w:rsidRPr="00AC5992" w:rsidRDefault="00746A02" w:rsidP="00C10D31">
            <w:pPr>
              <w:spacing w:after="0" w:line="240" w:lineRule="auto"/>
              <w:jc w:val="center"/>
              <w:rPr>
                <w:rFonts w:eastAsia="Times New Roman" w:cstheme="minorHAnsi"/>
                <w:b/>
                <w:i/>
              </w:rPr>
            </w:pPr>
            <w:r w:rsidRPr="00AC5992">
              <w:rPr>
                <w:rFonts w:eastAsia="Times New Roman" w:cstheme="minorHAnsi"/>
                <w:i/>
              </w:rPr>
              <w:t>Region:</w:t>
            </w:r>
            <w:r w:rsidRPr="00AC5992">
              <w:rPr>
                <w:rFonts w:eastAsia="Times New Roman"/>
              </w:rPr>
              <w:t xml:space="preserve"> Right STS</w:t>
            </w:r>
          </w:p>
        </w:tc>
      </w:tr>
      <w:tr w:rsidR="00DE0BDF" w:rsidRPr="00AC5992" w14:paraId="7CA455C3" w14:textId="77777777" w:rsidTr="001E4F5C">
        <w:trPr>
          <w:trHeight w:val="197"/>
        </w:trPr>
        <w:tc>
          <w:tcPr>
            <w:tcW w:w="445" w:type="dxa"/>
            <w:vMerge/>
          </w:tcPr>
          <w:p w14:paraId="1C39ECB9" w14:textId="77777777" w:rsidR="00DE0BDF" w:rsidRPr="00AC5992" w:rsidRDefault="00DE0BDF" w:rsidP="00C10D31">
            <w:pPr>
              <w:spacing w:after="0" w:line="240" w:lineRule="auto"/>
              <w:rPr>
                <w:rFonts w:eastAsia="Times New Roman" w:cstheme="minorHAnsi"/>
              </w:rPr>
            </w:pPr>
          </w:p>
        </w:tc>
        <w:tc>
          <w:tcPr>
            <w:tcW w:w="2952" w:type="dxa"/>
            <w:shd w:val="clear" w:color="auto" w:fill="auto"/>
          </w:tcPr>
          <w:p w14:paraId="753B253C" w14:textId="0779F34B" w:rsidR="00DE0BDF" w:rsidRPr="00AC5992" w:rsidRDefault="00DE0BDF" w:rsidP="00746A02">
            <w:pPr>
              <w:pStyle w:val="NoSpacing"/>
              <w:rPr>
                <w:rFonts w:eastAsia="Times New Roman"/>
              </w:rPr>
            </w:pPr>
          </w:p>
        </w:tc>
        <w:tc>
          <w:tcPr>
            <w:tcW w:w="1481" w:type="dxa"/>
            <w:shd w:val="clear" w:color="auto" w:fill="auto"/>
            <w:noWrap/>
          </w:tcPr>
          <w:p w14:paraId="79105931" w14:textId="77777777" w:rsidR="00DE0BDF" w:rsidRPr="00AC5992" w:rsidRDefault="00DE0BDF" w:rsidP="00C10D31">
            <w:pPr>
              <w:pStyle w:val="NoSpacing"/>
              <w:jc w:val="center"/>
              <w:rPr>
                <w:rFonts w:eastAsia="Times New Roman"/>
              </w:rPr>
            </w:pPr>
            <w:r w:rsidRPr="00AC5992">
              <w:rPr>
                <w:rFonts w:eastAsia="Times New Roman" w:cstheme="minorHAnsi"/>
              </w:rPr>
              <w:t>F</w:t>
            </w:r>
          </w:p>
        </w:tc>
        <w:tc>
          <w:tcPr>
            <w:tcW w:w="2063" w:type="dxa"/>
            <w:shd w:val="clear" w:color="auto" w:fill="auto"/>
            <w:noWrap/>
          </w:tcPr>
          <w:p w14:paraId="033AAA4F" w14:textId="77777777" w:rsidR="00DE0BDF" w:rsidRPr="00AC5992" w:rsidRDefault="00DE0BDF" w:rsidP="00C10D31">
            <w:pPr>
              <w:pStyle w:val="NoSpacing"/>
              <w:jc w:val="center"/>
              <w:rPr>
                <w:rFonts w:eastAsia="Times New Roman"/>
              </w:rPr>
            </w:pPr>
            <w:r w:rsidRPr="00AC5992">
              <w:rPr>
                <w:rFonts w:eastAsia="Times New Roman" w:cstheme="minorHAnsi"/>
              </w:rPr>
              <w:t>p</w:t>
            </w:r>
          </w:p>
        </w:tc>
      </w:tr>
      <w:tr w:rsidR="00746A02" w:rsidRPr="00AC5992" w14:paraId="51780E05" w14:textId="77777777" w:rsidTr="001E4F5C">
        <w:trPr>
          <w:trHeight w:val="85"/>
        </w:trPr>
        <w:tc>
          <w:tcPr>
            <w:tcW w:w="445" w:type="dxa"/>
            <w:vMerge/>
          </w:tcPr>
          <w:p w14:paraId="4468F006" w14:textId="77777777" w:rsidR="00746A02" w:rsidRPr="00AC5992" w:rsidRDefault="00746A02" w:rsidP="00C10D31">
            <w:pPr>
              <w:spacing w:after="0" w:line="240" w:lineRule="auto"/>
              <w:rPr>
                <w:rFonts w:eastAsia="Times New Roman" w:cstheme="minorHAnsi"/>
              </w:rPr>
            </w:pPr>
          </w:p>
        </w:tc>
        <w:tc>
          <w:tcPr>
            <w:tcW w:w="2952" w:type="dxa"/>
            <w:shd w:val="clear" w:color="auto" w:fill="auto"/>
          </w:tcPr>
          <w:p w14:paraId="08CCEDED" w14:textId="267D822B" w:rsidR="00746A02" w:rsidRPr="00AC5992" w:rsidRDefault="00746A02" w:rsidP="00C10D31">
            <w:pPr>
              <w:pStyle w:val="NoSpacing"/>
              <w:rPr>
                <w:rFonts w:eastAsia="Times New Roman" w:cstheme="minorHAnsi"/>
              </w:rPr>
            </w:pPr>
            <w:r w:rsidRPr="00AC5992">
              <w:rPr>
                <w:rFonts w:eastAsia="Times New Roman" w:cstheme="minorHAnsi"/>
              </w:rPr>
              <w:t>Main effect of Medication Load</w:t>
            </w:r>
          </w:p>
        </w:tc>
        <w:tc>
          <w:tcPr>
            <w:tcW w:w="1481" w:type="dxa"/>
            <w:shd w:val="clear" w:color="auto" w:fill="auto"/>
            <w:noWrap/>
          </w:tcPr>
          <w:p w14:paraId="38D0451C" w14:textId="59213B20" w:rsidR="00746A02" w:rsidRPr="00AC5992" w:rsidRDefault="00746A02" w:rsidP="00C10D31">
            <w:pPr>
              <w:pStyle w:val="NoSpacing"/>
              <w:jc w:val="right"/>
            </w:pPr>
            <w:r w:rsidRPr="00AC5992">
              <w:t>0.387</w:t>
            </w:r>
          </w:p>
        </w:tc>
        <w:tc>
          <w:tcPr>
            <w:tcW w:w="2063" w:type="dxa"/>
            <w:shd w:val="clear" w:color="auto" w:fill="auto"/>
            <w:noWrap/>
          </w:tcPr>
          <w:p w14:paraId="28F81CDD" w14:textId="6FDB122D" w:rsidR="00746A02" w:rsidRPr="00AC5992" w:rsidRDefault="00746A02" w:rsidP="00C10D31">
            <w:pPr>
              <w:pStyle w:val="NoSpacing"/>
              <w:jc w:val="right"/>
            </w:pPr>
            <w:r w:rsidRPr="00AC5992">
              <w:t>0.541</w:t>
            </w:r>
          </w:p>
        </w:tc>
      </w:tr>
      <w:tr w:rsidR="00DE0BDF" w:rsidRPr="00AC5992" w14:paraId="47EF7924" w14:textId="77777777" w:rsidTr="001E4F5C">
        <w:trPr>
          <w:trHeight w:val="85"/>
        </w:trPr>
        <w:tc>
          <w:tcPr>
            <w:tcW w:w="445" w:type="dxa"/>
            <w:vMerge/>
          </w:tcPr>
          <w:p w14:paraId="477B1B78" w14:textId="77777777" w:rsidR="00DE0BDF" w:rsidRPr="00AC5992" w:rsidRDefault="00DE0BDF" w:rsidP="00C10D31">
            <w:pPr>
              <w:spacing w:after="0" w:line="240" w:lineRule="auto"/>
              <w:rPr>
                <w:rFonts w:eastAsia="Times New Roman" w:cstheme="minorHAnsi"/>
              </w:rPr>
            </w:pPr>
          </w:p>
        </w:tc>
        <w:tc>
          <w:tcPr>
            <w:tcW w:w="2952" w:type="dxa"/>
            <w:shd w:val="clear" w:color="auto" w:fill="auto"/>
          </w:tcPr>
          <w:p w14:paraId="58D99E4A" w14:textId="1D007879" w:rsidR="00DE0BDF" w:rsidRPr="00AC5992" w:rsidRDefault="00746A02" w:rsidP="00C10D31">
            <w:pPr>
              <w:pStyle w:val="NoSpacing"/>
              <w:rPr>
                <w:rFonts w:eastAsia="Times New Roman"/>
              </w:rPr>
            </w:pPr>
            <w:r w:rsidRPr="00AC5992">
              <w:rPr>
                <w:rFonts w:eastAsia="Times New Roman" w:cstheme="minorHAnsi"/>
              </w:rPr>
              <w:t>Social Condition x Medication Load</w:t>
            </w:r>
          </w:p>
        </w:tc>
        <w:tc>
          <w:tcPr>
            <w:tcW w:w="1481" w:type="dxa"/>
            <w:shd w:val="clear" w:color="auto" w:fill="auto"/>
            <w:noWrap/>
            <w:hideMark/>
          </w:tcPr>
          <w:p w14:paraId="2F9A529A" w14:textId="01A4E887" w:rsidR="00DE0BDF" w:rsidRPr="00AC5992" w:rsidRDefault="00746A02" w:rsidP="00C10D31">
            <w:pPr>
              <w:pStyle w:val="NoSpacing"/>
              <w:jc w:val="right"/>
            </w:pPr>
            <w:r w:rsidRPr="00AC5992">
              <w:t>0</w:t>
            </w:r>
            <w:r w:rsidR="00DE0BDF" w:rsidRPr="00AC5992">
              <w:t>.298</w:t>
            </w:r>
          </w:p>
        </w:tc>
        <w:tc>
          <w:tcPr>
            <w:tcW w:w="2063" w:type="dxa"/>
            <w:shd w:val="clear" w:color="auto" w:fill="auto"/>
            <w:noWrap/>
            <w:hideMark/>
          </w:tcPr>
          <w:p w14:paraId="4E5FAFFE" w14:textId="77777777" w:rsidR="00DE0BDF" w:rsidRPr="00AC5992" w:rsidRDefault="00DE0BDF" w:rsidP="00C10D31">
            <w:pPr>
              <w:pStyle w:val="NoSpacing"/>
              <w:jc w:val="right"/>
            </w:pPr>
            <w:r w:rsidRPr="00AC5992">
              <w:t>0.592</w:t>
            </w:r>
          </w:p>
        </w:tc>
      </w:tr>
      <w:tr w:rsidR="00DE0BDF" w:rsidRPr="00AC5992" w14:paraId="354B4570" w14:textId="77777777" w:rsidTr="00C10D31">
        <w:trPr>
          <w:trHeight w:val="151"/>
        </w:trPr>
        <w:tc>
          <w:tcPr>
            <w:tcW w:w="6941" w:type="dxa"/>
            <w:gridSpan w:val="4"/>
          </w:tcPr>
          <w:p w14:paraId="49073A10" w14:textId="779019DE" w:rsidR="00DE0BDF" w:rsidRPr="00AC5992" w:rsidRDefault="00746A02" w:rsidP="00C10D31">
            <w:pPr>
              <w:pStyle w:val="NoSpacing"/>
              <w:rPr>
                <w:rFonts w:cstheme="minorHAnsi"/>
                <w:b/>
              </w:rPr>
            </w:pPr>
            <w:r w:rsidRPr="00AC5992">
              <w:rPr>
                <w:rFonts w:eastAsia="Times New Roman" w:cstheme="minorHAnsi"/>
                <w:b/>
              </w:rPr>
              <w:t xml:space="preserve">Model 2: </w:t>
            </w:r>
            <w:r w:rsidR="00DE0BDF" w:rsidRPr="00AC5992">
              <w:rPr>
                <w:rFonts w:eastAsia="Times New Roman" w:cstheme="minorHAnsi"/>
                <w:b/>
              </w:rPr>
              <w:t>Feedbacks</w:t>
            </w:r>
          </w:p>
        </w:tc>
      </w:tr>
      <w:tr w:rsidR="00746A02" w:rsidRPr="00AC5992" w14:paraId="68A307E4" w14:textId="77777777" w:rsidTr="001E4F5C">
        <w:trPr>
          <w:trHeight w:val="251"/>
        </w:trPr>
        <w:tc>
          <w:tcPr>
            <w:tcW w:w="445" w:type="dxa"/>
            <w:vMerge w:val="restart"/>
          </w:tcPr>
          <w:p w14:paraId="23B3BA6C" w14:textId="77777777" w:rsidR="00746A02" w:rsidRPr="00AC5992" w:rsidRDefault="00746A02" w:rsidP="00C10D31">
            <w:pPr>
              <w:pStyle w:val="NoSpacing"/>
              <w:rPr>
                <w:rFonts w:eastAsia="Times New Roman"/>
              </w:rPr>
            </w:pPr>
          </w:p>
        </w:tc>
        <w:tc>
          <w:tcPr>
            <w:tcW w:w="6496" w:type="dxa"/>
            <w:gridSpan w:val="3"/>
            <w:shd w:val="clear" w:color="auto" w:fill="auto"/>
          </w:tcPr>
          <w:p w14:paraId="3F7E3AD0" w14:textId="29A9997A" w:rsidR="00746A02" w:rsidRPr="00AC5992" w:rsidRDefault="00746A02" w:rsidP="00C10D31">
            <w:pPr>
              <w:pStyle w:val="NoSpacing"/>
              <w:jc w:val="center"/>
              <w:rPr>
                <w:i/>
              </w:rPr>
            </w:pPr>
            <w:r w:rsidRPr="00AC5992">
              <w:rPr>
                <w:i/>
              </w:rPr>
              <w:t xml:space="preserve">Region: </w:t>
            </w:r>
            <w:r w:rsidRPr="00AC5992">
              <w:rPr>
                <w:rFonts w:eastAsia="Times New Roman"/>
                <w:i/>
              </w:rPr>
              <w:t>Bilateral Amygdala</w:t>
            </w:r>
          </w:p>
        </w:tc>
      </w:tr>
      <w:tr w:rsidR="00DE0BDF" w:rsidRPr="00AC5992" w14:paraId="05DA29BB" w14:textId="77777777" w:rsidTr="001E4F5C">
        <w:trPr>
          <w:trHeight w:val="251"/>
        </w:trPr>
        <w:tc>
          <w:tcPr>
            <w:tcW w:w="445" w:type="dxa"/>
            <w:vMerge/>
          </w:tcPr>
          <w:p w14:paraId="517296DC" w14:textId="77777777" w:rsidR="00DE0BDF" w:rsidRPr="00AC5992" w:rsidRDefault="00DE0BDF" w:rsidP="00C10D31">
            <w:pPr>
              <w:pStyle w:val="NoSpacing"/>
              <w:rPr>
                <w:rFonts w:eastAsia="Times New Roman" w:cstheme="minorHAnsi"/>
              </w:rPr>
            </w:pPr>
          </w:p>
        </w:tc>
        <w:tc>
          <w:tcPr>
            <w:tcW w:w="2952" w:type="dxa"/>
            <w:shd w:val="clear" w:color="auto" w:fill="auto"/>
          </w:tcPr>
          <w:p w14:paraId="34125861" w14:textId="7CAA63F4" w:rsidR="00DE0BDF" w:rsidRPr="00AC5992" w:rsidRDefault="00DE0BDF" w:rsidP="00746A02">
            <w:pPr>
              <w:pStyle w:val="NoSpacing"/>
              <w:jc w:val="center"/>
              <w:rPr>
                <w:rFonts w:eastAsia="Times New Roman"/>
              </w:rPr>
            </w:pPr>
          </w:p>
        </w:tc>
        <w:tc>
          <w:tcPr>
            <w:tcW w:w="1481" w:type="dxa"/>
            <w:shd w:val="clear" w:color="auto" w:fill="auto"/>
            <w:noWrap/>
          </w:tcPr>
          <w:p w14:paraId="3ED54EA4" w14:textId="77777777" w:rsidR="00DE0BDF" w:rsidRPr="00AC5992" w:rsidRDefault="00DE0BDF" w:rsidP="00C10D31">
            <w:pPr>
              <w:pStyle w:val="NoSpacing"/>
              <w:jc w:val="center"/>
              <w:rPr>
                <w:rFonts w:cstheme="minorHAnsi"/>
              </w:rPr>
            </w:pPr>
            <w:r w:rsidRPr="00AC5992">
              <w:rPr>
                <w:rFonts w:eastAsia="Times New Roman" w:cstheme="minorHAnsi"/>
              </w:rPr>
              <w:t>F</w:t>
            </w:r>
          </w:p>
        </w:tc>
        <w:tc>
          <w:tcPr>
            <w:tcW w:w="2063" w:type="dxa"/>
            <w:shd w:val="clear" w:color="auto" w:fill="auto"/>
            <w:noWrap/>
          </w:tcPr>
          <w:p w14:paraId="1836B569" w14:textId="77777777" w:rsidR="00DE0BDF" w:rsidRPr="00AC5992" w:rsidRDefault="00DE0BDF" w:rsidP="00C10D31">
            <w:pPr>
              <w:pStyle w:val="NoSpacing"/>
              <w:jc w:val="center"/>
              <w:rPr>
                <w:rFonts w:cstheme="minorHAnsi"/>
              </w:rPr>
            </w:pPr>
            <w:r w:rsidRPr="00AC5992">
              <w:rPr>
                <w:rFonts w:eastAsia="Times New Roman" w:cstheme="minorHAnsi"/>
              </w:rPr>
              <w:t>p</w:t>
            </w:r>
          </w:p>
        </w:tc>
      </w:tr>
      <w:tr w:rsidR="00746A02" w:rsidRPr="00AC5992" w14:paraId="4CD7A5F1" w14:textId="77777777" w:rsidTr="001E4F5C">
        <w:trPr>
          <w:trHeight w:val="251"/>
        </w:trPr>
        <w:tc>
          <w:tcPr>
            <w:tcW w:w="445" w:type="dxa"/>
            <w:vMerge/>
          </w:tcPr>
          <w:p w14:paraId="482A3C18" w14:textId="77777777" w:rsidR="00746A02" w:rsidRPr="00AC5992" w:rsidRDefault="00746A02" w:rsidP="00C10D31">
            <w:pPr>
              <w:pStyle w:val="NoSpacing"/>
              <w:rPr>
                <w:rFonts w:eastAsia="Times New Roman" w:cstheme="minorHAnsi"/>
              </w:rPr>
            </w:pPr>
          </w:p>
        </w:tc>
        <w:tc>
          <w:tcPr>
            <w:tcW w:w="2952" w:type="dxa"/>
            <w:shd w:val="clear" w:color="auto" w:fill="auto"/>
          </w:tcPr>
          <w:p w14:paraId="17503053" w14:textId="5FFC9DF1" w:rsidR="00746A02" w:rsidRPr="00AC5992" w:rsidRDefault="00746A02" w:rsidP="00746A02">
            <w:pPr>
              <w:pStyle w:val="NoSpacing"/>
              <w:rPr>
                <w:rFonts w:eastAsia="Times New Roman"/>
              </w:rPr>
            </w:pPr>
            <w:r w:rsidRPr="00AC5992">
              <w:rPr>
                <w:rFonts w:eastAsia="Times New Roman"/>
              </w:rPr>
              <w:t>Main effect of Medication Load</w:t>
            </w:r>
          </w:p>
        </w:tc>
        <w:tc>
          <w:tcPr>
            <w:tcW w:w="1481" w:type="dxa"/>
            <w:shd w:val="clear" w:color="auto" w:fill="auto"/>
            <w:noWrap/>
          </w:tcPr>
          <w:p w14:paraId="7A5A9E31" w14:textId="5C3CEC14" w:rsidR="00746A02" w:rsidRPr="00AC5992" w:rsidRDefault="00746A02" w:rsidP="00C10D31">
            <w:pPr>
              <w:pStyle w:val="NoSpacing"/>
              <w:jc w:val="right"/>
              <w:rPr>
                <w:rFonts w:cstheme="minorHAnsi"/>
              </w:rPr>
            </w:pPr>
            <w:r w:rsidRPr="00AC5992">
              <w:rPr>
                <w:rFonts w:cstheme="minorHAnsi"/>
              </w:rPr>
              <w:t>0.113</w:t>
            </w:r>
          </w:p>
        </w:tc>
        <w:tc>
          <w:tcPr>
            <w:tcW w:w="2063" w:type="dxa"/>
            <w:shd w:val="clear" w:color="auto" w:fill="auto"/>
            <w:noWrap/>
          </w:tcPr>
          <w:p w14:paraId="0173A6EE" w14:textId="089DA70E" w:rsidR="00746A02" w:rsidRPr="00AC5992" w:rsidRDefault="00746A02" w:rsidP="00C10D31">
            <w:pPr>
              <w:pStyle w:val="NoSpacing"/>
              <w:jc w:val="right"/>
              <w:rPr>
                <w:rFonts w:cstheme="minorHAnsi"/>
              </w:rPr>
            </w:pPr>
            <w:r w:rsidRPr="00AC5992">
              <w:rPr>
                <w:rFonts w:cstheme="minorHAnsi"/>
              </w:rPr>
              <w:t>0.740</w:t>
            </w:r>
          </w:p>
        </w:tc>
      </w:tr>
      <w:tr w:rsidR="00746A02" w:rsidRPr="00AC5992" w14:paraId="79F37F5A" w14:textId="77777777" w:rsidTr="001E4F5C">
        <w:trPr>
          <w:trHeight w:val="251"/>
        </w:trPr>
        <w:tc>
          <w:tcPr>
            <w:tcW w:w="445" w:type="dxa"/>
            <w:vMerge/>
          </w:tcPr>
          <w:p w14:paraId="667DBCF1" w14:textId="77777777" w:rsidR="00746A02" w:rsidRPr="00AC5992" w:rsidRDefault="00746A02" w:rsidP="00C10D31">
            <w:pPr>
              <w:pStyle w:val="NoSpacing"/>
              <w:rPr>
                <w:rFonts w:eastAsia="Times New Roman" w:cstheme="minorHAnsi"/>
              </w:rPr>
            </w:pPr>
          </w:p>
        </w:tc>
        <w:tc>
          <w:tcPr>
            <w:tcW w:w="2952" w:type="dxa"/>
            <w:shd w:val="clear" w:color="auto" w:fill="auto"/>
          </w:tcPr>
          <w:p w14:paraId="00C651EE" w14:textId="7DED9DF1" w:rsidR="00746A02" w:rsidRPr="00AC5992" w:rsidRDefault="00746A02" w:rsidP="00746A02">
            <w:pPr>
              <w:pStyle w:val="NoSpacing"/>
              <w:rPr>
                <w:rFonts w:eastAsia="Times New Roman"/>
              </w:rPr>
            </w:pPr>
            <w:r w:rsidRPr="00AC5992">
              <w:rPr>
                <w:rFonts w:eastAsia="Times New Roman"/>
              </w:rPr>
              <w:t>Social Condition x Medication Load</w:t>
            </w:r>
          </w:p>
        </w:tc>
        <w:tc>
          <w:tcPr>
            <w:tcW w:w="1481" w:type="dxa"/>
            <w:shd w:val="clear" w:color="auto" w:fill="auto"/>
            <w:noWrap/>
          </w:tcPr>
          <w:p w14:paraId="5341CBE9" w14:textId="07CC2D29" w:rsidR="00746A02" w:rsidRPr="00AC5992" w:rsidRDefault="00746A02" w:rsidP="00C10D31">
            <w:pPr>
              <w:pStyle w:val="NoSpacing"/>
              <w:jc w:val="right"/>
              <w:rPr>
                <w:rFonts w:cstheme="minorHAnsi"/>
              </w:rPr>
            </w:pPr>
            <w:r w:rsidRPr="00AC5992">
              <w:rPr>
                <w:rFonts w:cstheme="minorHAnsi"/>
              </w:rPr>
              <w:t>0.017</w:t>
            </w:r>
          </w:p>
        </w:tc>
        <w:tc>
          <w:tcPr>
            <w:tcW w:w="2063" w:type="dxa"/>
            <w:shd w:val="clear" w:color="auto" w:fill="auto"/>
            <w:noWrap/>
          </w:tcPr>
          <w:p w14:paraId="1E38892F" w14:textId="699C58FD" w:rsidR="00746A02" w:rsidRPr="00AC5992" w:rsidRDefault="00746A02" w:rsidP="00C10D31">
            <w:pPr>
              <w:pStyle w:val="NoSpacing"/>
              <w:jc w:val="right"/>
              <w:rPr>
                <w:rFonts w:cstheme="minorHAnsi"/>
              </w:rPr>
            </w:pPr>
            <w:r w:rsidRPr="00AC5992">
              <w:rPr>
                <w:rFonts w:cstheme="minorHAnsi"/>
              </w:rPr>
              <w:t>0.898</w:t>
            </w:r>
          </w:p>
        </w:tc>
      </w:tr>
      <w:tr w:rsidR="00746A02" w:rsidRPr="00AC5992" w14:paraId="5BB4238D" w14:textId="77777777" w:rsidTr="001E4F5C">
        <w:trPr>
          <w:trHeight w:val="251"/>
        </w:trPr>
        <w:tc>
          <w:tcPr>
            <w:tcW w:w="445" w:type="dxa"/>
            <w:vMerge/>
          </w:tcPr>
          <w:p w14:paraId="5FBC76AC" w14:textId="77777777" w:rsidR="00746A02" w:rsidRPr="00AC5992" w:rsidRDefault="00746A02" w:rsidP="00C10D31">
            <w:pPr>
              <w:pStyle w:val="NoSpacing"/>
              <w:rPr>
                <w:rFonts w:eastAsia="Times New Roman" w:cstheme="minorHAnsi"/>
              </w:rPr>
            </w:pPr>
          </w:p>
        </w:tc>
        <w:tc>
          <w:tcPr>
            <w:tcW w:w="2952" w:type="dxa"/>
            <w:shd w:val="clear" w:color="auto" w:fill="auto"/>
          </w:tcPr>
          <w:p w14:paraId="5C218750" w14:textId="6BCE4A99" w:rsidR="00746A02" w:rsidRPr="00AC5992" w:rsidRDefault="00746A02" w:rsidP="00746A02">
            <w:pPr>
              <w:pStyle w:val="NoSpacing"/>
              <w:rPr>
                <w:rFonts w:eastAsia="Times New Roman"/>
              </w:rPr>
            </w:pPr>
            <w:r w:rsidRPr="00AC5992">
              <w:rPr>
                <w:rFonts w:eastAsia="Times New Roman"/>
              </w:rPr>
              <w:t>Reward Outcome x Medication Load</w:t>
            </w:r>
          </w:p>
        </w:tc>
        <w:tc>
          <w:tcPr>
            <w:tcW w:w="1481" w:type="dxa"/>
            <w:shd w:val="clear" w:color="auto" w:fill="auto"/>
            <w:noWrap/>
          </w:tcPr>
          <w:p w14:paraId="0D50F84F" w14:textId="5044BF50" w:rsidR="00746A02" w:rsidRPr="00AC5992" w:rsidRDefault="00746A02" w:rsidP="00C10D31">
            <w:pPr>
              <w:pStyle w:val="NoSpacing"/>
              <w:jc w:val="right"/>
              <w:rPr>
                <w:rFonts w:cstheme="minorHAnsi"/>
              </w:rPr>
            </w:pPr>
            <w:r w:rsidRPr="00AC5992">
              <w:rPr>
                <w:rFonts w:cstheme="minorHAnsi"/>
              </w:rPr>
              <w:t>1.982</w:t>
            </w:r>
          </w:p>
        </w:tc>
        <w:tc>
          <w:tcPr>
            <w:tcW w:w="2063" w:type="dxa"/>
            <w:shd w:val="clear" w:color="auto" w:fill="auto"/>
            <w:noWrap/>
          </w:tcPr>
          <w:p w14:paraId="7652A5EB" w14:textId="58EB7977" w:rsidR="00746A02" w:rsidRPr="00AC5992" w:rsidRDefault="00746A02" w:rsidP="00C10D31">
            <w:pPr>
              <w:pStyle w:val="NoSpacing"/>
              <w:jc w:val="right"/>
              <w:rPr>
                <w:rFonts w:cstheme="minorHAnsi"/>
              </w:rPr>
            </w:pPr>
            <w:r w:rsidRPr="00AC5992">
              <w:rPr>
                <w:rFonts w:cstheme="minorHAnsi"/>
              </w:rPr>
              <w:t>0.175</w:t>
            </w:r>
          </w:p>
        </w:tc>
      </w:tr>
      <w:tr w:rsidR="00DE0BDF" w:rsidRPr="00AC5992" w14:paraId="6A61B0CF" w14:textId="77777777" w:rsidTr="001E4F5C">
        <w:trPr>
          <w:trHeight w:val="251"/>
        </w:trPr>
        <w:tc>
          <w:tcPr>
            <w:tcW w:w="445" w:type="dxa"/>
            <w:vMerge/>
          </w:tcPr>
          <w:p w14:paraId="1D7FA155" w14:textId="77777777" w:rsidR="00DE0BDF" w:rsidRPr="00AC5992" w:rsidRDefault="00DE0BDF" w:rsidP="00C10D31">
            <w:pPr>
              <w:pStyle w:val="NoSpacing"/>
              <w:rPr>
                <w:rFonts w:eastAsia="Times New Roman" w:cstheme="minorHAnsi"/>
              </w:rPr>
            </w:pPr>
          </w:p>
        </w:tc>
        <w:tc>
          <w:tcPr>
            <w:tcW w:w="2952" w:type="dxa"/>
            <w:shd w:val="clear" w:color="auto" w:fill="auto"/>
          </w:tcPr>
          <w:p w14:paraId="445D0EC6" w14:textId="562AE9CB" w:rsidR="00DE0BDF" w:rsidRPr="00AC5992" w:rsidRDefault="00746A02" w:rsidP="00746A02">
            <w:pPr>
              <w:pStyle w:val="NoSpacing"/>
              <w:rPr>
                <w:rFonts w:eastAsia="Times New Roman"/>
              </w:rPr>
            </w:pPr>
            <w:r w:rsidRPr="00AC5992">
              <w:rPr>
                <w:rFonts w:eastAsia="Times New Roman"/>
              </w:rPr>
              <w:t xml:space="preserve">Social Condition x Reward Outcome x Medication Load </w:t>
            </w:r>
          </w:p>
        </w:tc>
        <w:tc>
          <w:tcPr>
            <w:tcW w:w="1481" w:type="dxa"/>
            <w:shd w:val="clear" w:color="auto" w:fill="auto"/>
            <w:noWrap/>
          </w:tcPr>
          <w:p w14:paraId="410C940D" w14:textId="5D3DC7C7" w:rsidR="00DE0BDF" w:rsidRPr="00AC5992" w:rsidRDefault="00746A02" w:rsidP="00C10D31">
            <w:pPr>
              <w:pStyle w:val="NoSpacing"/>
              <w:jc w:val="right"/>
              <w:rPr>
                <w:rFonts w:cstheme="minorHAnsi"/>
              </w:rPr>
            </w:pPr>
            <w:r w:rsidRPr="00AC5992">
              <w:rPr>
                <w:rFonts w:cstheme="minorHAnsi"/>
              </w:rPr>
              <w:t>0</w:t>
            </w:r>
            <w:r w:rsidR="00DE0BDF" w:rsidRPr="00AC5992">
              <w:rPr>
                <w:rFonts w:cstheme="minorHAnsi"/>
              </w:rPr>
              <w:t>.697</w:t>
            </w:r>
          </w:p>
        </w:tc>
        <w:tc>
          <w:tcPr>
            <w:tcW w:w="2063" w:type="dxa"/>
            <w:shd w:val="clear" w:color="auto" w:fill="auto"/>
            <w:noWrap/>
          </w:tcPr>
          <w:p w14:paraId="1A989390" w14:textId="77777777" w:rsidR="00DE0BDF" w:rsidRPr="00AC5992" w:rsidRDefault="00DE0BDF" w:rsidP="00C10D31">
            <w:pPr>
              <w:pStyle w:val="NoSpacing"/>
              <w:jc w:val="right"/>
              <w:rPr>
                <w:rFonts w:cstheme="minorHAnsi"/>
              </w:rPr>
            </w:pPr>
            <w:r w:rsidRPr="00AC5992">
              <w:rPr>
                <w:rFonts w:cstheme="minorHAnsi"/>
              </w:rPr>
              <w:t>0.414</w:t>
            </w:r>
          </w:p>
        </w:tc>
      </w:tr>
      <w:tr w:rsidR="00746A02" w:rsidRPr="00AC5992" w14:paraId="7E1D7213" w14:textId="77777777" w:rsidTr="000F7D7A">
        <w:trPr>
          <w:trHeight w:val="251"/>
        </w:trPr>
        <w:tc>
          <w:tcPr>
            <w:tcW w:w="6941" w:type="dxa"/>
            <w:gridSpan w:val="4"/>
          </w:tcPr>
          <w:p w14:paraId="1AFD2FBF" w14:textId="279B59C2" w:rsidR="00746A02" w:rsidRPr="00AC5992" w:rsidRDefault="00746A02" w:rsidP="00AC5992">
            <w:pPr>
              <w:pStyle w:val="NoSpacing"/>
              <w:rPr>
                <w:rFonts w:cstheme="minorHAnsi"/>
                <w:b/>
              </w:rPr>
            </w:pPr>
            <w:r w:rsidRPr="00AC5992">
              <w:rPr>
                <w:rFonts w:cstheme="minorHAnsi"/>
                <w:b/>
              </w:rPr>
              <w:t>Model 3: Cue regression analysis</w:t>
            </w:r>
            <w:r w:rsidR="00AC5992" w:rsidRPr="00AC5992">
              <w:rPr>
                <w:rFonts w:cstheme="minorHAnsi"/>
                <w:b/>
              </w:rPr>
              <w:t xml:space="preserve"> </w:t>
            </w:r>
          </w:p>
        </w:tc>
      </w:tr>
      <w:tr w:rsidR="00746A02" w:rsidRPr="00AC5992" w14:paraId="6948B836" w14:textId="77777777" w:rsidTr="001E4F5C">
        <w:trPr>
          <w:trHeight w:val="251"/>
        </w:trPr>
        <w:tc>
          <w:tcPr>
            <w:tcW w:w="445" w:type="dxa"/>
          </w:tcPr>
          <w:p w14:paraId="14173166" w14:textId="77777777" w:rsidR="00746A02" w:rsidRPr="00AC5992" w:rsidRDefault="00746A02" w:rsidP="00C10D31">
            <w:pPr>
              <w:pStyle w:val="NoSpacing"/>
              <w:rPr>
                <w:rFonts w:eastAsia="Times New Roman" w:cstheme="minorHAnsi"/>
              </w:rPr>
            </w:pPr>
          </w:p>
        </w:tc>
        <w:tc>
          <w:tcPr>
            <w:tcW w:w="6496" w:type="dxa"/>
            <w:gridSpan w:val="3"/>
            <w:shd w:val="clear" w:color="auto" w:fill="auto"/>
          </w:tcPr>
          <w:p w14:paraId="4951FC4B" w14:textId="0EB82D29" w:rsidR="00746A02" w:rsidRPr="00AC5992" w:rsidRDefault="00746A02" w:rsidP="00746A02">
            <w:pPr>
              <w:pStyle w:val="NoSpacing"/>
              <w:jc w:val="center"/>
              <w:rPr>
                <w:rFonts w:cstheme="minorHAnsi"/>
                <w:i/>
              </w:rPr>
            </w:pPr>
            <w:r w:rsidRPr="00AC5992">
              <w:rPr>
                <w:rFonts w:cstheme="minorHAnsi"/>
                <w:i/>
              </w:rPr>
              <w:t>Region: pgACC</w:t>
            </w:r>
          </w:p>
        </w:tc>
      </w:tr>
      <w:tr w:rsidR="00746A02" w:rsidRPr="00AC5992" w14:paraId="097A5E0B" w14:textId="77777777" w:rsidTr="001E4F5C">
        <w:trPr>
          <w:trHeight w:val="251"/>
        </w:trPr>
        <w:tc>
          <w:tcPr>
            <w:tcW w:w="445" w:type="dxa"/>
          </w:tcPr>
          <w:p w14:paraId="14E1B213" w14:textId="77777777" w:rsidR="00746A02" w:rsidRPr="00AC5992" w:rsidRDefault="00746A02" w:rsidP="00C10D31">
            <w:pPr>
              <w:pStyle w:val="NoSpacing"/>
              <w:rPr>
                <w:rFonts w:eastAsia="Times New Roman" w:cstheme="minorHAnsi"/>
              </w:rPr>
            </w:pPr>
          </w:p>
        </w:tc>
        <w:tc>
          <w:tcPr>
            <w:tcW w:w="2952" w:type="dxa"/>
            <w:shd w:val="clear" w:color="auto" w:fill="auto"/>
          </w:tcPr>
          <w:p w14:paraId="31793A47" w14:textId="77777777" w:rsidR="00746A02" w:rsidRPr="00AC5992" w:rsidRDefault="00746A02" w:rsidP="00746A02">
            <w:pPr>
              <w:pStyle w:val="NoSpacing"/>
              <w:rPr>
                <w:rFonts w:eastAsia="Times New Roman"/>
              </w:rPr>
            </w:pPr>
          </w:p>
        </w:tc>
        <w:tc>
          <w:tcPr>
            <w:tcW w:w="1481" w:type="dxa"/>
            <w:shd w:val="clear" w:color="auto" w:fill="auto"/>
            <w:noWrap/>
          </w:tcPr>
          <w:p w14:paraId="12BD7230" w14:textId="0028E691" w:rsidR="00746A02" w:rsidRPr="00AC5992" w:rsidRDefault="00AC5992" w:rsidP="00746A02">
            <w:pPr>
              <w:pStyle w:val="NoSpacing"/>
              <w:jc w:val="center"/>
              <w:rPr>
                <w:rFonts w:cstheme="minorHAnsi"/>
              </w:rPr>
            </w:pPr>
            <w:r w:rsidRPr="00AC5992">
              <w:rPr>
                <w:rFonts w:cstheme="minorHAnsi"/>
              </w:rPr>
              <w:t>r</w:t>
            </w:r>
          </w:p>
        </w:tc>
        <w:tc>
          <w:tcPr>
            <w:tcW w:w="2063" w:type="dxa"/>
            <w:shd w:val="clear" w:color="auto" w:fill="auto"/>
            <w:noWrap/>
          </w:tcPr>
          <w:p w14:paraId="08D25E5A" w14:textId="5F691778" w:rsidR="00746A02" w:rsidRPr="00AC5992" w:rsidRDefault="00AC5992" w:rsidP="00746A02">
            <w:pPr>
              <w:pStyle w:val="NoSpacing"/>
              <w:jc w:val="center"/>
              <w:rPr>
                <w:rFonts w:cstheme="minorHAnsi"/>
              </w:rPr>
            </w:pPr>
            <w:r w:rsidRPr="00AC5992">
              <w:rPr>
                <w:rFonts w:cstheme="minorHAnsi"/>
              </w:rPr>
              <w:t>p</w:t>
            </w:r>
          </w:p>
        </w:tc>
      </w:tr>
      <w:tr w:rsidR="00746A02" w:rsidRPr="00AC5992" w14:paraId="1D7C9775" w14:textId="77777777" w:rsidTr="001E4F5C">
        <w:trPr>
          <w:trHeight w:val="251"/>
        </w:trPr>
        <w:tc>
          <w:tcPr>
            <w:tcW w:w="445" w:type="dxa"/>
          </w:tcPr>
          <w:p w14:paraId="1075A8FD" w14:textId="77777777" w:rsidR="00746A02" w:rsidRPr="00AC5992" w:rsidRDefault="00746A02" w:rsidP="00746A02">
            <w:pPr>
              <w:pStyle w:val="NoSpacing"/>
              <w:rPr>
                <w:rFonts w:eastAsia="Times New Roman" w:cstheme="minorHAnsi"/>
              </w:rPr>
            </w:pPr>
          </w:p>
        </w:tc>
        <w:tc>
          <w:tcPr>
            <w:tcW w:w="2952" w:type="dxa"/>
            <w:shd w:val="clear" w:color="auto" w:fill="auto"/>
          </w:tcPr>
          <w:p w14:paraId="0CE0A8B0" w14:textId="5F3563F8" w:rsidR="00746A02" w:rsidRPr="00AC5992" w:rsidRDefault="00AC5992" w:rsidP="00746A02">
            <w:pPr>
              <w:pStyle w:val="NoSpacing"/>
              <w:rPr>
                <w:rFonts w:eastAsia="Times New Roman"/>
              </w:rPr>
            </w:pPr>
            <w:r w:rsidRPr="00AC5992">
              <w:rPr>
                <w:rFonts w:eastAsia="Times New Roman"/>
              </w:rPr>
              <w:t>Correlation with Medication Load</w:t>
            </w:r>
          </w:p>
        </w:tc>
        <w:tc>
          <w:tcPr>
            <w:tcW w:w="1481" w:type="dxa"/>
            <w:shd w:val="clear" w:color="auto" w:fill="auto"/>
            <w:noWrap/>
          </w:tcPr>
          <w:p w14:paraId="21B412F3" w14:textId="5B27BFCA" w:rsidR="00746A02" w:rsidRPr="00AC5992" w:rsidRDefault="00AC5992" w:rsidP="00746A02">
            <w:pPr>
              <w:pStyle w:val="NoSpacing"/>
              <w:jc w:val="right"/>
              <w:rPr>
                <w:rFonts w:cstheme="minorHAnsi"/>
              </w:rPr>
            </w:pPr>
            <w:r w:rsidRPr="00AC5992">
              <w:rPr>
                <w:rFonts w:cstheme="minorHAnsi"/>
              </w:rPr>
              <w:t>-0.384</w:t>
            </w:r>
          </w:p>
        </w:tc>
        <w:tc>
          <w:tcPr>
            <w:tcW w:w="2063" w:type="dxa"/>
            <w:shd w:val="clear" w:color="auto" w:fill="auto"/>
            <w:noWrap/>
          </w:tcPr>
          <w:p w14:paraId="1447B1CC" w14:textId="54AC6BDF" w:rsidR="00746A02" w:rsidRPr="00AC5992" w:rsidRDefault="00AC5992" w:rsidP="00746A02">
            <w:pPr>
              <w:pStyle w:val="NoSpacing"/>
              <w:jc w:val="right"/>
              <w:rPr>
                <w:rFonts w:cstheme="minorHAnsi"/>
              </w:rPr>
            </w:pPr>
            <w:r w:rsidRPr="00AC5992">
              <w:rPr>
                <w:rFonts w:cstheme="minorHAnsi"/>
              </w:rPr>
              <w:t>0.086</w:t>
            </w:r>
          </w:p>
        </w:tc>
      </w:tr>
    </w:tbl>
    <w:p w14:paraId="0B5B1CA5" w14:textId="2006C411" w:rsidR="005416FF" w:rsidRDefault="005416FF" w:rsidP="00E518A4">
      <w:pPr>
        <w:spacing w:line="480" w:lineRule="auto"/>
        <w:rPr>
          <w:lang w:val="en-US"/>
        </w:rPr>
      </w:pPr>
    </w:p>
    <w:p w14:paraId="3E9C876F" w14:textId="77777777" w:rsidR="005416FF" w:rsidRDefault="005416FF">
      <w:pPr>
        <w:rPr>
          <w:lang w:val="en-US"/>
        </w:rPr>
      </w:pPr>
      <w:r>
        <w:rPr>
          <w:lang w:val="en-US"/>
        </w:rPr>
        <w:br w:type="page"/>
      </w:r>
    </w:p>
    <w:tbl>
      <w:tblP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2866"/>
        <w:gridCol w:w="1170"/>
        <w:gridCol w:w="812"/>
        <w:gridCol w:w="1168"/>
        <w:gridCol w:w="646"/>
      </w:tblGrid>
      <w:tr w:rsidR="005416FF" w:rsidRPr="00AC5992" w14:paraId="23E66D68" w14:textId="77777777" w:rsidTr="00AE452F">
        <w:trPr>
          <w:trHeight w:val="270"/>
        </w:trPr>
        <w:tc>
          <w:tcPr>
            <w:tcW w:w="6941" w:type="dxa"/>
            <w:gridSpan w:val="6"/>
          </w:tcPr>
          <w:p w14:paraId="6A8FA629" w14:textId="77777777" w:rsidR="005416FF" w:rsidRPr="00AC5992" w:rsidRDefault="005416FF" w:rsidP="00AE452F">
            <w:pPr>
              <w:spacing w:after="0" w:line="240" w:lineRule="auto"/>
              <w:rPr>
                <w:rFonts w:eastAsia="Times New Roman" w:cstheme="minorHAnsi"/>
              </w:rPr>
            </w:pPr>
            <w:r w:rsidRPr="00283FEE">
              <w:rPr>
                <w:rFonts w:eastAsia="Times New Roman" w:cstheme="minorHAnsi"/>
              </w:rPr>
              <w:lastRenderedPageBreak/>
              <w:t>Table S</w:t>
            </w:r>
            <w:r>
              <w:rPr>
                <w:rFonts w:eastAsia="Times New Roman" w:cstheme="minorHAnsi"/>
              </w:rPr>
              <w:t>5</w:t>
            </w:r>
            <w:r w:rsidRPr="00283FEE">
              <w:rPr>
                <w:rFonts w:eastAsia="Times New Roman" w:cstheme="minorHAnsi"/>
              </w:rPr>
              <w:t>.</w:t>
            </w:r>
            <w:r w:rsidRPr="00AC5992">
              <w:rPr>
                <w:rFonts w:eastAsia="Times New Roman" w:cstheme="minorHAnsi"/>
                <w:b/>
              </w:rPr>
              <w:t xml:space="preserve"> </w:t>
            </w:r>
            <w:r w:rsidRPr="00AC5992">
              <w:rPr>
                <w:rFonts w:eastAsia="Times New Roman" w:cstheme="minorHAnsi"/>
              </w:rPr>
              <w:t xml:space="preserve">The effects of </w:t>
            </w:r>
            <w:r>
              <w:rPr>
                <w:rFonts w:eastAsia="Times New Roman" w:cstheme="minorHAnsi"/>
              </w:rPr>
              <w:t>comorbidity (depression and ADHD)</w:t>
            </w:r>
            <w:r w:rsidRPr="00AC5992">
              <w:rPr>
                <w:rFonts w:eastAsia="Times New Roman" w:cstheme="minorHAnsi"/>
              </w:rPr>
              <w:t xml:space="preserve"> on significantly activated brain regions in the BPD group (N=21)</w:t>
            </w:r>
          </w:p>
        </w:tc>
      </w:tr>
      <w:tr w:rsidR="005416FF" w:rsidRPr="00AC5992" w14:paraId="487DF0D0" w14:textId="77777777" w:rsidTr="00AE452F">
        <w:trPr>
          <w:trHeight w:val="241"/>
        </w:trPr>
        <w:tc>
          <w:tcPr>
            <w:tcW w:w="6941" w:type="dxa"/>
            <w:gridSpan w:val="6"/>
          </w:tcPr>
          <w:p w14:paraId="59FFE195" w14:textId="77777777" w:rsidR="005416FF" w:rsidRPr="00AC5992" w:rsidRDefault="005416FF" w:rsidP="00AE452F">
            <w:pPr>
              <w:spacing w:after="0" w:line="240" w:lineRule="auto"/>
              <w:rPr>
                <w:rFonts w:eastAsia="Times New Roman" w:cstheme="minorHAnsi"/>
                <w:b/>
              </w:rPr>
            </w:pPr>
            <w:r w:rsidRPr="00AC5992">
              <w:rPr>
                <w:rFonts w:eastAsia="Times New Roman" w:cstheme="minorHAnsi"/>
                <w:b/>
              </w:rPr>
              <w:t>Model 1: Cues</w:t>
            </w:r>
          </w:p>
        </w:tc>
      </w:tr>
      <w:tr w:rsidR="005416FF" w:rsidRPr="00AC5992" w14:paraId="6BDD0242" w14:textId="77777777" w:rsidTr="00C2726D">
        <w:trPr>
          <w:trHeight w:val="241"/>
        </w:trPr>
        <w:tc>
          <w:tcPr>
            <w:tcW w:w="279" w:type="dxa"/>
            <w:vMerge w:val="restart"/>
          </w:tcPr>
          <w:p w14:paraId="228C33AE" w14:textId="77777777" w:rsidR="005416FF" w:rsidRPr="00AC5992" w:rsidRDefault="005416FF" w:rsidP="00AE452F">
            <w:pPr>
              <w:spacing w:after="0" w:line="240" w:lineRule="auto"/>
              <w:rPr>
                <w:rFonts w:eastAsia="Times New Roman" w:cstheme="minorHAnsi"/>
                <w:i/>
              </w:rPr>
            </w:pPr>
          </w:p>
        </w:tc>
        <w:tc>
          <w:tcPr>
            <w:tcW w:w="6662" w:type="dxa"/>
            <w:gridSpan w:val="5"/>
          </w:tcPr>
          <w:p w14:paraId="77A76510" w14:textId="77777777" w:rsidR="005416FF" w:rsidRPr="00AC5992" w:rsidRDefault="005416FF" w:rsidP="00AE452F">
            <w:pPr>
              <w:spacing w:after="0" w:line="240" w:lineRule="auto"/>
              <w:jc w:val="center"/>
              <w:rPr>
                <w:rFonts w:eastAsia="Times New Roman" w:cstheme="minorHAnsi"/>
                <w:b/>
                <w:i/>
              </w:rPr>
            </w:pPr>
            <w:r w:rsidRPr="00AC5992">
              <w:rPr>
                <w:rFonts w:eastAsia="Times New Roman" w:cstheme="minorHAnsi"/>
                <w:i/>
              </w:rPr>
              <w:t>Region:</w:t>
            </w:r>
            <w:r w:rsidRPr="00AC5992">
              <w:rPr>
                <w:rFonts w:eastAsia="Times New Roman"/>
              </w:rPr>
              <w:t xml:space="preserve"> </w:t>
            </w:r>
            <w:r w:rsidRPr="004D6F2E">
              <w:rPr>
                <w:rFonts w:eastAsia="Times New Roman"/>
                <w:i/>
              </w:rPr>
              <w:t>Right STS</w:t>
            </w:r>
          </w:p>
        </w:tc>
      </w:tr>
      <w:tr w:rsidR="005416FF" w:rsidRPr="00AC5992" w14:paraId="7890CD90" w14:textId="77777777" w:rsidTr="00C2726D">
        <w:trPr>
          <w:trHeight w:val="241"/>
        </w:trPr>
        <w:tc>
          <w:tcPr>
            <w:tcW w:w="279" w:type="dxa"/>
            <w:vMerge/>
          </w:tcPr>
          <w:p w14:paraId="18AC8A1A" w14:textId="77777777" w:rsidR="005416FF" w:rsidRPr="00AC5992" w:rsidRDefault="005416FF" w:rsidP="00AE452F">
            <w:pPr>
              <w:spacing w:after="0" w:line="240" w:lineRule="auto"/>
              <w:rPr>
                <w:rFonts w:eastAsia="Times New Roman" w:cstheme="minorHAnsi"/>
                <w:i/>
              </w:rPr>
            </w:pPr>
          </w:p>
        </w:tc>
        <w:tc>
          <w:tcPr>
            <w:tcW w:w="2866" w:type="dxa"/>
          </w:tcPr>
          <w:p w14:paraId="2E3ABF1E" w14:textId="77777777" w:rsidR="005416FF" w:rsidRPr="00AC5992" w:rsidRDefault="005416FF" w:rsidP="00AE452F">
            <w:pPr>
              <w:spacing w:after="0" w:line="240" w:lineRule="auto"/>
              <w:jc w:val="center"/>
              <w:rPr>
                <w:rFonts w:eastAsia="Times New Roman" w:cstheme="minorHAnsi"/>
                <w:i/>
              </w:rPr>
            </w:pPr>
          </w:p>
        </w:tc>
        <w:tc>
          <w:tcPr>
            <w:tcW w:w="1982" w:type="dxa"/>
            <w:gridSpan w:val="2"/>
          </w:tcPr>
          <w:p w14:paraId="1EC2BA2B" w14:textId="77777777" w:rsidR="005416FF" w:rsidRPr="004D6F2E" w:rsidRDefault="005416FF" w:rsidP="00AE452F">
            <w:pPr>
              <w:spacing w:after="0" w:line="240" w:lineRule="auto"/>
              <w:jc w:val="center"/>
              <w:rPr>
                <w:rFonts w:eastAsia="Times New Roman" w:cstheme="minorHAnsi"/>
              </w:rPr>
            </w:pPr>
            <w:r>
              <w:rPr>
                <w:rFonts w:eastAsia="Times New Roman" w:cstheme="minorHAnsi"/>
              </w:rPr>
              <w:t>Depression</w:t>
            </w:r>
          </w:p>
        </w:tc>
        <w:tc>
          <w:tcPr>
            <w:tcW w:w="1814" w:type="dxa"/>
            <w:gridSpan w:val="2"/>
          </w:tcPr>
          <w:p w14:paraId="2F6CB60D" w14:textId="77777777" w:rsidR="005416FF" w:rsidRPr="004D6F2E" w:rsidRDefault="005416FF" w:rsidP="00AE452F">
            <w:pPr>
              <w:spacing w:after="0" w:line="240" w:lineRule="auto"/>
              <w:jc w:val="center"/>
              <w:rPr>
                <w:rFonts w:eastAsia="Times New Roman" w:cstheme="minorHAnsi"/>
              </w:rPr>
            </w:pPr>
            <w:r>
              <w:rPr>
                <w:rFonts w:eastAsia="Times New Roman" w:cstheme="minorHAnsi"/>
              </w:rPr>
              <w:t>ADHD</w:t>
            </w:r>
          </w:p>
        </w:tc>
      </w:tr>
      <w:tr w:rsidR="005416FF" w:rsidRPr="00AC5992" w14:paraId="1FA18119" w14:textId="77777777" w:rsidTr="00C2726D">
        <w:trPr>
          <w:trHeight w:val="197"/>
        </w:trPr>
        <w:tc>
          <w:tcPr>
            <w:tcW w:w="279" w:type="dxa"/>
            <w:vMerge/>
          </w:tcPr>
          <w:p w14:paraId="662AFA08" w14:textId="77777777" w:rsidR="005416FF" w:rsidRPr="00AC5992" w:rsidRDefault="005416FF" w:rsidP="00AE452F">
            <w:pPr>
              <w:spacing w:after="0" w:line="240" w:lineRule="auto"/>
              <w:rPr>
                <w:rFonts w:eastAsia="Times New Roman" w:cstheme="minorHAnsi"/>
              </w:rPr>
            </w:pPr>
          </w:p>
        </w:tc>
        <w:tc>
          <w:tcPr>
            <w:tcW w:w="2866" w:type="dxa"/>
            <w:shd w:val="clear" w:color="auto" w:fill="auto"/>
          </w:tcPr>
          <w:p w14:paraId="19C6F454" w14:textId="77777777" w:rsidR="005416FF" w:rsidRPr="00AC5992" w:rsidRDefault="005416FF" w:rsidP="00AE452F">
            <w:pPr>
              <w:pStyle w:val="NoSpacing"/>
              <w:rPr>
                <w:rFonts w:eastAsia="Times New Roman"/>
              </w:rPr>
            </w:pPr>
          </w:p>
        </w:tc>
        <w:tc>
          <w:tcPr>
            <w:tcW w:w="1170" w:type="dxa"/>
            <w:shd w:val="clear" w:color="auto" w:fill="auto"/>
            <w:noWrap/>
          </w:tcPr>
          <w:p w14:paraId="0097F1D1" w14:textId="77777777" w:rsidR="005416FF" w:rsidRPr="00AC5992" w:rsidRDefault="005416FF" w:rsidP="00AE452F">
            <w:pPr>
              <w:pStyle w:val="NoSpacing"/>
              <w:jc w:val="center"/>
              <w:rPr>
                <w:rFonts w:eastAsia="Times New Roman"/>
              </w:rPr>
            </w:pPr>
            <w:r w:rsidRPr="00AC5992">
              <w:rPr>
                <w:rFonts w:eastAsia="Times New Roman" w:cstheme="minorHAnsi"/>
              </w:rPr>
              <w:t>F</w:t>
            </w:r>
          </w:p>
        </w:tc>
        <w:tc>
          <w:tcPr>
            <w:tcW w:w="812" w:type="dxa"/>
            <w:shd w:val="clear" w:color="auto" w:fill="auto"/>
            <w:noWrap/>
          </w:tcPr>
          <w:p w14:paraId="60249459" w14:textId="77777777" w:rsidR="005416FF" w:rsidRPr="00AC5992" w:rsidRDefault="005416FF" w:rsidP="00AE452F">
            <w:pPr>
              <w:pStyle w:val="NoSpacing"/>
              <w:jc w:val="center"/>
              <w:rPr>
                <w:rFonts w:eastAsia="Times New Roman"/>
              </w:rPr>
            </w:pPr>
            <w:r w:rsidRPr="00AC5992">
              <w:rPr>
                <w:rFonts w:eastAsia="Times New Roman" w:cstheme="minorHAnsi"/>
              </w:rPr>
              <w:t>p</w:t>
            </w:r>
          </w:p>
        </w:tc>
        <w:tc>
          <w:tcPr>
            <w:tcW w:w="1168" w:type="dxa"/>
            <w:shd w:val="clear" w:color="auto" w:fill="auto"/>
          </w:tcPr>
          <w:p w14:paraId="765C07BA" w14:textId="77777777" w:rsidR="005416FF" w:rsidRPr="00AC5992" w:rsidRDefault="005416FF" w:rsidP="00AE452F">
            <w:pPr>
              <w:pStyle w:val="NoSpacing"/>
              <w:jc w:val="center"/>
              <w:rPr>
                <w:rFonts w:eastAsia="Times New Roman"/>
              </w:rPr>
            </w:pPr>
            <w:r w:rsidRPr="00AC5992">
              <w:rPr>
                <w:rFonts w:eastAsia="Times New Roman" w:cstheme="minorHAnsi"/>
              </w:rPr>
              <w:t>F</w:t>
            </w:r>
          </w:p>
        </w:tc>
        <w:tc>
          <w:tcPr>
            <w:tcW w:w="646" w:type="dxa"/>
            <w:shd w:val="clear" w:color="auto" w:fill="auto"/>
          </w:tcPr>
          <w:p w14:paraId="43A1575E" w14:textId="77777777" w:rsidR="005416FF" w:rsidRPr="00AC5992" w:rsidRDefault="005416FF" w:rsidP="00AE452F">
            <w:pPr>
              <w:pStyle w:val="NoSpacing"/>
              <w:jc w:val="center"/>
              <w:rPr>
                <w:rFonts w:eastAsia="Times New Roman"/>
              </w:rPr>
            </w:pPr>
            <w:r w:rsidRPr="00AC5992">
              <w:rPr>
                <w:rFonts w:eastAsia="Times New Roman" w:cstheme="minorHAnsi"/>
              </w:rPr>
              <w:t>p</w:t>
            </w:r>
          </w:p>
        </w:tc>
      </w:tr>
      <w:tr w:rsidR="005416FF" w:rsidRPr="00AC5992" w14:paraId="1B7F7D50" w14:textId="77777777" w:rsidTr="00C2726D">
        <w:trPr>
          <w:trHeight w:val="85"/>
        </w:trPr>
        <w:tc>
          <w:tcPr>
            <w:tcW w:w="279" w:type="dxa"/>
            <w:vMerge/>
          </w:tcPr>
          <w:p w14:paraId="11E26EA8" w14:textId="77777777" w:rsidR="005416FF" w:rsidRPr="00AC5992" w:rsidRDefault="005416FF" w:rsidP="00AE452F">
            <w:pPr>
              <w:spacing w:after="0" w:line="240" w:lineRule="auto"/>
              <w:rPr>
                <w:rFonts w:eastAsia="Times New Roman" w:cstheme="minorHAnsi"/>
              </w:rPr>
            </w:pPr>
          </w:p>
        </w:tc>
        <w:tc>
          <w:tcPr>
            <w:tcW w:w="2866" w:type="dxa"/>
            <w:shd w:val="clear" w:color="auto" w:fill="auto"/>
          </w:tcPr>
          <w:p w14:paraId="36BBDCF4" w14:textId="77777777" w:rsidR="005416FF" w:rsidRPr="00AC5992" w:rsidRDefault="005416FF" w:rsidP="00AE452F">
            <w:pPr>
              <w:pStyle w:val="NoSpacing"/>
              <w:rPr>
                <w:rFonts w:eastAsia="Times New Roman" w:cstheme="minorHAnsi"/>
              </w:rPr>
            </w:pPr>
            <w:r w:rsidRPr="00AC5992">
              <w:rPr>
                <w:rFonts w:eastAsia="Times New Roman" w:cstheme="minorHAnsi"/>
              </w:rPr>
              <w:t xml:space="preserve">Social Condition x </w:t>
            </w:r>
            <w:r>
              <w:rPr>
                <w:rFonts w:eastAsia="Times New Roman" w:cstheme="minorHAnsi"/>
              </w:rPr>
              <w:t>Comorbidity</w:t>
            </w:r>
            <w:r w:rsidRPr="00AC5992">
              <w:rPr>
                <w:rFonts w:eastAsia="Times New Roman" w:cstheme="minorHAnsi"/>
              </w:rPr>
              <w:t xml:space="preserve"> </w:t>
            </w:r>
          </w:p>
        </w:tc>
        <w:tc>
          <w:tcPr>
            <w:tcW w:w="1170" w:type="dxa"/>
            <w:shd w:val="clear" w:color="auto" w:fill="auto"/>
            <w:noWrap/>
            <w:vAlign w:val="center"/>
          </w:tcPr>
          <w:p w14:paraId="60183FC6" w14:textId="77777777" w:rsidR="005416FF" w:rsidRPr="00F14DDC" w:rsidRDefault="005416FF" w:rsidP="00AE452F">
            <w:pPr>
              <w:jc w:val="center"/>
            </w:pPr>
            <w:r w:rsidRPr="00F14DDC">
              <w:t>0.76</w:t>
            </w:r>
          </w:p>
        </w:tc>
        <w:tc>
          <w:tcPr>
            <w:tcW w:w="812" w:type="dxa"/>
            <w:shd w:val="clear" w:color="auto" w:fill="auto"/>
            <w:noWrap/>
            <w:vAlign w:val="center"/>
          </w:tcPr>
          <w:p w14:paraId="1D53858B" w14:textId="77777777" w:rsidR="005416FF" w:rsidRDefault="005416FF" w:rsidP="00AE452F">
            <w:pPr>
              <w:jc w:val="center"/>
            </w:pPr>
            <w:r w:rsidRPr="00F14DDC">
              <w:t>0.39</w:t>
            </w:r>
          </w:p>
        </w:tc>
        <w:tc>
          <w:tcPr>
            <w:tcW w:w="1168" w:type="dxa"/>
            <w:shd w:val="clear" w:color="auto" w:fill="auto"/>
            <w:vAlign w:val="center"/>
          </w:tcPr>
          <w:p w14:paraId="2836ED94" w14:textId="77777777" w:rsidR="005416FF" w:rsidRPr="007F4B28" w:rsidRDefault="005416FF" w:rsidP="00AE452F">
            <w:pPr>
              <w:jc w:val="center"/>
            </w:pPr>
            <w:r w:rsidRPr="007F4B28">
              <w:t>1.95</w:t>
            </w:r>
          </w:p>
        </w:tc>
        <w:tc>
          <w:tcPr>
            <w:tcW w:w="646" w:type="dxa"/>
            <w:shd w:val="clear" w:color="auto" w:fill="auto"/>
            <w:vAlign w:val="center"/>
          </w:tcPr>
          <w:p w14:paraId="5E451690" w14:textId="77777777" w:rsidR="005416FF" w:rsidRDefault="005416FF" w:rsidP="00AE452F">
            <w:pPr>
              <w:jc w:val="center"/>
            </w:pPr>
            <w:r w:rsidRPr="007F4B28">
              <w:t>0.18</w:t>
            </w:r>
          </w:p>
        </w:tc>
      </w:tr>
      <w:tr w:rsidR="005416FF" w:rsidRPr="00AC5992" w14:paraId="6549C4FE" w14:textId="77777777" w:rsidTr="00C2726D">
        <w:trPr>
          <w:trHeight w:val="85"/>
        </w:trPr>
        <w:tc>
          <w:tcPr>
            <w:tcW w:w="279" w:type="dxa"/>
            <w:vMerge/>
          </w:tcPr>
          <w:p w14:paraId="04F7283A" w14:textId="77777777" w:rsidR="005416FF" w:rsidRPr="00AC5992" w:rsidRDefault="005416FF" w:rsidP="00AE452F">
            <w:pPr>
              <w:spacing w:after="0" w:line="240" w:lineRule="auto"/>
              <w:rPr>
                <w:rFonts w:eastAsia="Times New Roman" w:cstheme="minorHAnsi"/>
              </w:rPr>
            </w:pPr>
          </w:p>
        </w:tc>
        <w:tc>
          <w:tcPr>
            <w:tcW w:w="2866" w:type="dxa"/>
            <w:shd w:val="clear" w:color="auto" w:fill="auto"/>
          </w:tcPr>
          <w:p w14:paraId="18CEFB76" w14:textId="77777777" w:rsidR="005416FF" w:rsidRPr="00AC5992" w:rsidRDefault="005416FF" w:rsidP="00AE452F">
            <w:pPr>
              <w:pStyle w:val="NoSpacing"/>
              <w:rPr>
                <w:rFonts w:eastAsia="Times New Roman"/>
              </w:rPr>
            </w:pPr>
            <w:r w:rsidRPr="00AC5992">
              <w:rPr>
                <w:rFonts w:eastAsia="Times New Roman" w:cstheme="minorHAnsi"/>
              </w:rPr>
              <w:t xml:space="preserve">Main effect of </w:t>
            </w:r>
            <w:r>
              <w:rPr>
                <w:rFonts w:eastAsia="Times New Roman" w:cstheme="minorHAnsi"/>
              </w:rPr>
              <w:t>Comorbidity</w:t>
            </w:r>
          </w:p>
        </w:tc>
        <w:tc>
          <w:tcPr>
            <w:tcW w:w="1170" w:type="dxa"/>
            <w:shd w:val="clear" w:color="auto" w:fill="auto"/>
            <w:noWrap/>
            <w:vAlign w:val="center"/>
          </w:tcPr>
          <w:p w14:paraId="57918ECB" w14:textId="77777777" w:rsidR="005416FF" w:rsidRPr="0020195A" w:rsidRDefault="005416FF" w:rsidP="00AE452F">
            <w:pPr>
              <w:jc w:val="center"/>
            </w:pPr>
            <w:r w:rsidRPr="0020195A">
              <w:t>0.50</w:t>
            </w:r>
          </w:p>
        </w:tc>
        <w:tc>
          <w:tcPr>
            <w:tcW w:w="812" w:type="dxa"/>
            <w:shd w:val="clear" w:color="auto" w:fill="auto"/>
            <w:noWrap/>
            <w:vAlign w:val="center"/>
            <w:hideMark/>
          </w:tcPr>
          <w:p w14:paraId="061FF30B" w14:textId="77777777" w:rsidR="005416FF" w:rsidRDefault="005416FF" w:rsidP="00AE452F">
            <w:pPr>
              <w:jc w:val="center"/>
            </w:pPr>
            <w:r w:rsidRPr="0020195A">
              <w:t>0.49</w:t>
            </w:r>
          </w:p>
        </w:tc>
        <w:tc>
          <w:tcPr>
            <w:tcW w:w="1168" w:type="dxa"/>
            <w:shd w:val="clear" w:color="auto" w:fill="auto"/>
            <w:vAlign w:val="center"/>
          </w:tcPr>
          <w:p w14:paraId="12BB92B0" w14:textId="77777777" w:rsidR="005416FF" w:rsidRPr="00416042" w:rsidRDefault="005416FF" w:rsidP="00AE452F">
            <w:pPr>
              <w:jc w:val="center"/>
            </w:pPr>
            <w:r w:rsidRPr="00416042">
              <w:t>0.30</w:t>
            </w:r>
          </w:p>
        </w:tc>
        <w:tc>
          <w:tcPr>
            <w:tcW w:w="646" w:type="dxa"/>
            <w:shd w:val="clear" w:color="auto" w:fill="auto"/>
            <w:vAlign w:val="center"/>
          </w:tcPr>
          <w:p w14:paraId="40F72B6D" w14:textId="77777777" w:rsidR="005416FF" w:rsidRDefault="005416FF" w:rsidP="00AE452F">
            <w:pPr>
              <w:jc w:val="center"/>
            </w:pPr>
            <w:r w:rsidRPr="00416042">
              <w:t>0.59</w:t>
            </w:r>
          </w:p>
        </w:tc>
      </w:tr>
      <w:tr w:rsidR="005416FF" w:rsidRPr="00AC5992" w14:paraId="49183496" w14:textId="77777777" w:rsidTr="00AE452F">
        <w:trPr>
          <w:trHeight w:val="151"/>
        </w:trPr>
        <w:tc>
          <w:tcPr>
            <w:tcW w:w="6941" w:type="dxa"/>
            <w:gridSpan w:val="6"/>
          </w:tcPr>
          <w:p w14:paraId="5A1740A7" w14:textId="77777777" w:rsidR="005416FF" w:rsidRPr="00AC5992" w:rsidRDefault="005416FF" w:rsidP="00AE452F">
            <w:pPr>
              <w:pStyle w:val="NoSpacing"/>
              <w:rPr>
                <w:rFonts w:cstheme="minorHAnsi"/>
                <w:b/>
              </w:rPr>
            </w:pPr>
            <w:r w:rsidRPr="00AC5992">
              <w:rPr>
                <w:rFonts w:eastAsia="Times New Roman" w:cstheme="minorHAnsi"/>
                <w:b/>
              </w:rPr>
              <w:t>Model 2: Feedbacks</w:t>
            </w:r>
          </w:p>
        </w:tc>
      </w:tr>
      <w:tr w:rsidR="005416FF" w:rsidRPr="00AC5992" w14:paraId="7415647A" w14:textId="77777777" w:rsidTr="00C2726D">
        <w:trPr>
          <w:trHeight w:val="251"/>
        </w:trPr>
        <w:tc>
          <w:tcPr>
            <w:tcW w:w="279" w:type="dxa"/>
            <w:vMerge w:val="restart"/>
          </w:tcPr>
          <w:p w14:paraId="40A64A3D" w14:textId="77777777" w:rsidR="005416FF" w:rsidRPr="00AC5992" w:rsidRDefault="005416FF" w:rsidP="00AE452F">
            <w:pPr>
              <w:pStyle w:val="NoSpacing"/>
              <w:rPr>
                <w:rFonts w:eastAsia="Times New Roman"/>
              </w:rPr>
            </w:pPr>
          </w:p>
        </w:tc>
        <w:tc>
          <w:tcPr>
            <w:tcW w:w="6662" w:type="dxa"/>
            <w:gridSpan w:val="5"/>
            <w:shd w:val="clear" w:color="auto" w:fill="auto"/>
          </w:tcPr>
          <w:p w14:paraId="467AE7A4" w14:textId="77777777" w:rsidR="005416FF" w:rsidRPr="00AC5992" w:rsidRDefault="005416FF" w:rsidP="00AE452F">
            <w:pPr>
              <w:pStyle w:val="NoSpacing"/>
              <w:jc w:val="center"/>
              <w:rPr>
                <w:i/>
              </w:rPr>
            </w:pPr>
            <w:r w:rsidRPr="00AC5992">
              <w:rPr>
                <w:i/>
              </w:rPr>
              <w:t xml:space="preserve">Region: </w:t>
            </w:r>
            <w:r w:rsidRPr="00AC5992">
              <w:rPr>
                <w:rFonts w:eastAsia="Times New Roman"/>
                <w:i/>
              </w:rPr>
              <w:t>Bilateral Amygdala</w:t>
            </w:r>
          </w:p>
        </w:tc>
      </w:tr>
      <w:tr w:rsidR="005416FF" w:rsidRPr="00AC5992" w14:paraId="3FAA3218" w14:textId="77777777" w:rsidTr="00C2726D">
        <w:trPr>
          <w:trHeight w:val="251"/>
        </w:trPr>
        <w:tc>
          <w:tcPr>
            <w:tcW w:w="279" w:type="dxa"/>
            <w:vMerge/>
          </w:tcPr>
          <w:p w14:paraId="73BC9DB8" w14:textId="77777777" w:rsidR="005416FF" w:rsidRPr="00AC5992" w:rsidRDefault="005416FF" w:rsidP="00AE452F">
            <w:pPr>
              <w:pStyle w:val="NoSpacing"/>
              <w:rPr>
                <w:rFonts w:eastAsia="Times New Roman" w:cstheme="minorHAnsi"/>
              </w:rPr>
            </w:pPr>
          </w:p>
        </w:tc>
        <w:tc>
          <w:tcPr>
            <w:tcW w:w="2866" w:type="dxa"/>
            <w:shd w:val="clear" w:color="auto" w:fill="auto"/>
          </w:tcPr>
          <w:p w14:paraId="25FB905C" w14:textId="77777777" w:rsidR="005416FF" w:rsidRPr="00AC5992" w:rsidRDefault="005416FF" w:rsidP="00AE452F">
            <w:pPr>
              <w:pStyle w:val="NoSpacing"/>
              <w:jc w:val="center"/>
              <w:rPr>
                <w:rFonts w:eastAsia="Times New Roman"/>
              </w:rPr>
            </w:pPr>
          </w:p>
        </w:tc>
        <w:tc>
          <w:tcPr>
            <w:tcW w:w="1982" w:type="dxa"/>
            <w:gridSpan w:val="2"/>
            <w:shd w:val="clear" w:color="auto" w:fill="auto"/>
            <w:noWrap/>
          </w:tcPr>
          <w:p w14:paraId="3EDDDE48" w14:textId="77777777" w:rsidR="005416FF" w:rsidRPr="004D6F2E" w:rsidRDefault="005416FF" w:rsidP="00AE452F">
            <w:pPr>
              <w:spacing w:after="0" w:line="240" w:lineRule="auto"/>
              <w:jc w:val="center"/>
              <w:rPr>
                <w:rFonts w:eastAsia="Times New Roman" w:cstheme="minorHAnsi"/>
              </w:rPr>
            </w:pPr>
            <w:r>
              <w:rPr>
                <w:rFonts w:eastAsia="Times New Roman" w:cstheme="minorHAnsi"/>
              </w:rPr>
              <w:t>Depression</w:t>
            </w:r>
          </w:p>
        </w:tc>
        <w:tc>
          <w:tcPr>
            <w:tcW w:w="1814" w:type="dxa"/>
            <w:gridSpan w:val="2"/>
            <w:shd w:val="clear" w:color="auto" w:fill="auto"/>
          </w:tcPr>
          <w:p w14:paraId="60A54739" w14:textId="77777777" w:rsidR="005416FF" w:rsidRPr="004D6F2E" w:rsidRDefault="005416FF" w:rsidP="00AE452F">
            <w:pPr>
              <w:spacing w:after="0" w:line="240" w:lineRule="auto"/>
              <w:jc w:val="center"/>
              <w:rPr>
                <w:rFonts w:eastAsia="Times New Roman" w:cstheme="minorHAnsi"/>
              </w:rPr>
            </w:pPr>
            <w:r>
              <w:rPr>
                <w:rFonts w:eastAsia="Times New Roman" w:cstheme="minorHAnsi"/>
              </w:rPr>
              <w:t>ADHD</w:t>
            </w:r>
          </w:p>
        </w:tc>
      </w:tr>
      <w:tr w:rsidR="005416FF" w:rsidRPr="00AC5992" w14:paraId="484816A5" w14:textId="77777777" w:rsidTr="00C2726D">
        <w:trPr>
          <w:trHeight w:val="251"/>
        </w:trPr>
        <w:tc>
          <w:tcPr>
            <w:tcW w:w="279" w:type="dxa"/>
            <w:vMerge/>
          </w:tcPr>
          <w:p w14:paraId="7F509B21" w14:textId="77777777" w:rsidR="005416FF" w:rsidRPr="00AC5992" w:rsidRDefault="005416FF" w:rsidP="00AE452F">
            <w:pPr>
              <w:pStyle w:val="NoSpacing"/>
              <w:rPr>
                <w:rFonts w:eastAsia="Times New Roman" w:cstheme="minorHAnsi"/>
              </w:rPr>
            </w:pPr>
          </w:p>
        </w:tc>
        <w:tc>
          <w:tcPr>
            <w:tcW w:w="2866" w:type="dxa"/>
            <w:shd w:val="clear" w:color="auto" w:fill="auto"/>
          </w:tcPr>
          <w:p w14:paraId="525C4E14" w14:textId="77777777" w:rsidR="005416FF" w:rsidRPr="00AC5992" w:rsidRDefault="005416FF" w:rsidP="00AE452F">
            <w:pPr>
              <w:pStyle w:val="NoSpacing"/>
              <w:jc w:val="center"/>
              <w:rPr>
                <w:rFonts w:eastAsia="Times New Roman"/>
              </w:rPr>
            </w:pPr>
          </w:p>
        </w:tc>
        <w:tc>
          <w:tcPr>
            <w:tcW w:w="1170" w:type="dxa"/>
            <w:shd w:val="clear" w:color="auto" w:fill="auto"/>
            <w:noWrap/>
          </w:tcPr>
          <w:p w14:paraId="3A2C304E" w14:textId="77777777" w:rsidR="005416FF" w:rsidRPr="00AC5992" w:rsidRDefault="005416FF" w:rsidP="00AE452F">
            <w:pPr>
              <w:pStyle w:val="NoSpacing"/>
              <w:jc w:val="center"/>
              <w:rPr>
                <w:rFonts w:cstheme="minorHAnsi"/>
              </w:rPr>
            </w:pPr>
            <w:r w:rsidRPr="00AC5992">
              <w:rPr>
                <w:rFonts w:eastAsia="Times New Roman" w:cstheme="minorHAnsi"/>
              </w:rPr>
              <w:t>F</w:t>
            </w:r>
          </w:p>
        </w:tc>
        <w:tc>
          <w:tcPr>
            <w:tcW w:w="812" w:type="dxa"/>
            <w:shd w:val="clear" w:color="auto" w:fill="auto"/>
            <w:noWrap/>
          </w:tcPr>
          <w:p w14:paraId="4C45EE69" w14:textId="77777777" w:rsidR="005416FF" w:rsidRPr="00AC5992" w:rsidRDefault="005416FF" w:rsidP="00AE452F">
            <w:pPr>
              <w:pStyle w:val="NoSpacing"/>
              <w:jc w:val="center"/>
              <w:rPr>
                <w:rFonts w:cstheme="minorHAnsi"/>
              </w:rPr>
            </w:pPr>
            <w:r>
              <w:rPr>
                <w:rFonts w:cstheme="minorHAnsi"/>
              </w:rPr>
              <w:t>p</w:t>
            </w:r>
          </w:p>
        </w:tc>
        <w:tc>
          <w:tcPr>
            <w:tcW w:w="1168" w:type="dxa"/>
            <w:shd w:val="clear" w:color="auto" w:fill="auto"/>
          </w:tcPr>
          <w:p w14:paraId="31D81653" w14:textId="77777777" w:rsidR="005416FF" w:rsidRPr="00AC5992" w:rsidRDefault="005416FF" w:rsidP="00AE452F">
            <w:pPr>
              <w:pStyle w:val="NoSpacing"/>
              <w:jc w:val="center"/>
              <w:rPr>
                <w:rFonts w:cstheme="minorHAnsi"/>
              </w:rPr>
            </w:pPr>
            <w:r>
              <w:rPr>
                <w:rFonts w:cstheme="minorHAnsi"/>
              </w:rPr>
              <w:t>F</w:t>
            </w:r>
          </w:p>
        </w:tc>
        <w:tc>
          <w:tcPr>
            <w:tcW w:w="646" w:type="dxa"/>
            <w:shd w:val="clear" w:color="auto" w:fill="auto"/>
          </w:tcPr>
          <w:p w14:paraId="49DD425F" w14:textId="77777777" w:rsidR="005416FF" w:rsidRPr="00AC5992" w:rsidRDefault="005416FF" w:rsidP="00AE452F">
            <w:pPr>
              <w:pStyle w:val="NoSpacing"/>
              <w:jc w:val="center"/>
              <w:rPr>
                <w:rFonts w:cstheme="minorHAnsi"/>
              </w:rPr>
            </w:pPr>
            <w:r>
              <w:rPr>
                <w:rFonts w:cstheme="minorHAnsi"/>
              </w:rPr>
              <w:t>p</w:t>
            </w:r>
          </w:p>
        </w:tc>
      </w:tr>
      <w:tr w:rsidR="005416FF" w:rsidRPr="00AC5992" w14:paraId="3D0FC825" w14:textId="77777777" w:rsidTr="00C2726D">
        <w:trPr>
          <w:trHeight w:val="251"/>
        </w:trPr>
        <w:tc>
          <w:tcPr>
            <w:tcW w:w="279" w:type="dxa"/>
            <w:vMerge/>
          </w:tcPr>
          <w:p w14:paraId="10999382" w14:textId="77777777" w:rsidR="005416FF" w:rsidRPr="00AC5992" w:rsidRDefault="005416FF" w:rsidP="00AE452F">
            <w:pPr>
              <w:pStyle w:val="NoSpacing"/>
              <w:rPr>
                <w:rFonts w:eastAsia="Times New Roman" w:cstheme="minorHAnsi"/>
              </w:rPr>
            </w:pPr>
          </w:p>
        </w:tc>
        <w:tc>
          <w:tcPr>
            <w:tcW w:w="2866" w:type="dxa"/>
            <w:shd w:val="clear" w:color="auto" w:fill="auto"/>
          </w:tcPr>
          <w:p w14:paraId="6EBC945A" w14:textId="77777777" w:rsidR="005416FF" w:rsidRPr="00AC5992" w:rsidRDefault="005416FF" w:rsidP="00AE452F">
            <w:pPr>
              <w:pStyle w:val="NoSpacing"/>
              <w:rPr>
                <w:rFonts w:eastAsia="Times New Roman"/>
              </w:rPr>
            </w:pPr>
            <w:r w:rsidRPr="00AC5992">
              <w:rPr>
                <w:rFonts w:eastAsia="Times New Roman"/>
              </w:rPr>
              <w:t xml:space="preserve">Social Condition x </w:t>
            </w:r>
            <w:r>
              <w:rPr>
                <w:rFonts w:eastAsia="Times New Roman" w:cstheme="minorHAnsi"/>
              </w:rPr>
              <w:t>Comorbidity</w:t>
            </w:r>
          </w:p>
        </w:tc>
        <w:tc>
          <w:tcPr>
            <w:tcW w:w="1170" w:type="dxa"/>
            <w:shd w:val="clear" w:color="auto" w:fill="auto"/>
            <w:noWrap/>
            <w:vAlign w:val="center"/>
          </w:tcPr>
          <w:p w14:paraId="53942E64" w14:textId="77777777" w:rsidR="005416FF" w:rsidRPr="00297A8C" w:rsidRDefault="005416FF" w:rsidP="00AE452F">
            <w:pPr>
              <w:jc w:val="center"/>
            </w:pPr>
            <w:r w:rsidRPr="00297A8C">
              <w:t>1.08</w:t>
            </w:r>
          </w:p>
        </w:tc>
        <w:tc>
          <w:tcPr>
            <w:tcW w:w="812" w:type="dxa"/>
            <w:shd w:val="clear" w:color="auto" w:fill="auto"/>
            <w:noWrap/>
            <w:vAlign w:val="center"/>
          </w:tcPr>
          <w:p w14:paraId="76C4892B" w14:textId="77777777" w:rsidR="005416FF" w:rsidRDefault="005416FF" w:rsidP="00AE452F">
            <w:pPr>
              <w:jc w:val="center"/>
            </w:pPr>
            <w:r w:rsidRPr="00297A8C">
              <w:t>0.31</w:t>
            </w:r>
          </w:p>
        </w:tc>
        <w:tc>
          <w:tcPr>
            <w:tcW w:w="1168" w:type="dxa"/>
            <w:shd w:val="clear" w:color="auto" w:fill="auto"/>
            <w:vAlign w:val="center"/>
          </w:tcPr>
          <w:p w14:paraId="6CCF2477" w14:textId="77777777" w:rsidR="005416FF" w:rsidRPr="00F03AF4" w:rsidRDefault="005416FF" w:rsidP="00AE452F">
            <w:pPr>
              <w:jc w:val="center"/>
            </w:pPr>
            <w:r w:rsidRPr="00F03AF4">
              <w:t>0.32</w:t>
            </w:r>
          </w:p>
        </w:tc>
        <w:tc>
          <w:tcPr>
            <w:tcW w:w="646" w:type="dxa"/>
            <w:shd w:val="clear" w:color="auto" w:fill="auto"/>
            <w:vAlign w:val="center"/>
          </w:tcPr>
          <w:p w14:paraId="61B6CE28" w14:textId="77777777" w:rsidR="005416FF" w:rsidRDefault="005416FF" w:rsidP="00AE452F">
            <w:pPr>
              <w:jc w:val="center"/>
            </w:pPr>
            <w:r w:rsidRPr="00F03AF4">
              <w:t>0.58</w:t>
            </w:r>
          </w:p>
        </w:tc>
      </w:tr>
      <w:tr w:rsidR="005416FF" w:rsidRPr="00AC5992" w14:paraId="769929BE" w14:textId="77777777" w:rsidTr="00C2726D">
        <w:trPr>
          <w:trHeight w:val="251"/>
        </w:trPr>
        <w:tc>
          <w:tcPr>
            <w:tcW w:w="279" w:type="dxa"/>
            <w:vMerge/>
          </w:tcPr>
          <w:p w14:paraId="217E17B3" w14:textId="77777777" w:rsidR="005416FF" w:rsidRPr="00AC5992" w:rsidRDefault="005416FF" w:rsidP="00AE452F">
            <w:pPr>
              <w:pStyle w:val="NoSpacing"/>
              <w:rPr>
                <w:rFonts w:eastAsia="Times New Roman" w:cstheme="minorHAnsi"/>
              </w:rPr>
            </w:pPr>
          </w:p>
        </w:tc>
        <w:tc>
          <w:tcPr>
            <w:tcW w:w="2866" w:type="dxa"/>
            <w:shd w:val="clear" w:color="auto" w:fill="auto"/>
          </w:tcPr>
          <w:p w14:paraId="7D5FE2D9" w14:textId="77777777" w:rsidR="005416FF" w:rsidRPr="00AC5992" w:rsidRDefault="005416FF" w:rsidP="00AE452F">
            <w:pPr>
              <w:pStyle w:val="NoSpacing"/>
              <w:rPr>
                <w:rFonts w:eastAsia="Times New Roman"/>
              </w:rPr>
            </w:pPr>
            <w:r w:rsidRPr="00AC5992">
              <w:rPr>
                <w:rFonts w:eastAsia="Times New Roman"/>
              </w:rPr>
              <w:t xml:space="preserve">Reward Outcome x </w:t>
            </w:r>
            <w:r>
              <w:rPr>
                <w:rFonts w:eastAsia="Times New Roman" w:cstheme="minorHAnsi"/>
              </w:rPr>
              <w:t>Comorbidity</w:t>
            </w:r>
          </w:p>
        </w:tc>
        <w:tc>
          <w:tcPr>
            <w:tcW w:w="1170" w:type="dxa"/>
            <w:shd w:val="clear" w:color="auto" w:fill="auto"/>
            <w:noWrap/>
            <w:vAlign w:val="center"/>
          </w:tcPr>
          <w:p w14:paraId="628EA135" w14:textId="77777777" w:rsidR="005416FF" w:rsidRPr="00B85949" w:rsidRDefault="005416FF" w:rsidP="00AE452F">
            <w:pPr>
              <w:jc w:val="center"/>
            </w:pPr>
            <w:r w:rsidRPr="00B85949">
              <w:t>0.53</w:t>
            </w:r>
          </w:p>
        </w:tc>
        <w:tc>
          <w:tcPr>
            <w:tcW w:w="812" w:type="dxa"/>
            <w:shd w:val="clear" w:color="auto" w:fill="auto"/>
            <w:noWrap/>
            <w:vAlign w:val="center"/>
          </w:tcPr>
          <w:p w14:paraId="14CB4A32" w14:textId="77777777" w:rsidR="005416FF" w:rsidRDefault="005416FF" w:rsidP="00AE452F">
            <w:pPr>
              <w:jc w:val="center"/>
            </w:pPr>
            <w:r w:rsidRPr="00B85949">
              <w:t>0.48</w:t>
            </w:r>
          </w:p>
        </w:tc>
        <w:tc>
          <w:tcPr>
            <w:tcW w:w="1168" w:type="dxa"/>
            <w:shd w:val="clear" w:color="auto" w:fill="auto"/>
            <w:vAlign w:val="center"/>
          </w:tcPr>
          <w:p w14:paraId="55EA0EC5" w14:textId="77777777" w:rsidR="005416FF" w:rsidRPr="00D31CC6" w:rsidRDefault="005416FF" w:rsidP="00AE452F">
            <w:pPr>
              <w:jc w:val="center"/>
            </w:pPr>
            <w:r w:rsidRPr="00D31CC6">
              <w:t>0.55</w:t>
            </w:r>
          </w:p>
        </w:tc>
        <w:tc>
          <w:tcPr>
            <w:tcW w:w="646" w:type="dxa"/>
            <w:shd w:val="clear" w:color="auto" w:fill="auto"/>
            <w:vAlign w:val="center"/>
          </w:tcPr>
          <w:p w14:paraId="0F4574A9" w14:textId="77777777" w:rsidR="005416FF" w:rsidRDefault="005416FF" w:rsidP="00AE452F">
            <w:pPr>
              <w:jc w:val="center"/>
            </w:pPr>
            <w:r w:rsidRPr="00D31CC6">
              <w:t>0.47</w:t>
            </w:r>
          </w:p>
        </w:tc>
      </w:tr>
      <w:tr w:rsidR="005416FF" w:rsidRPr="00AC5992" w14:paraId="68577B20" w14:textId="77777777" w:rsidTr="00C2726D">
        <w:trPr>
          <w:trHeight w:val="251"/>
        </w:trPr>
        <w:tc>
          <w:tcPr>
            <w:tcW w:w="279" w:type="dxa"/>
            <w:vMerge/>
          </w:tcPr>
          <w:p w14:paraId="6CE3609F" w14:textId="77777777" w:rsidR="005416FF" w:rsidRPr="00AC5992" w:rsidRDefault="005416FF" w:rsidP="00AE452F">
            <w:pPr>
              <w:pStyle w:val="NoSpacing"/>
              <w:rPr>
                <w:rFonts w:eastAsia="Times New Roman" w:cstheme="minorHAnsi"/>
              </w:rPr>
            </w:pPr>
          </w:p>
        </w:tc>
        <w:tc>
          <w:tcPr>
            <w:tcW w:w="2866" w:type="dxa"/>
            <w:shd w:val="clear" w:color="auto" w:fill="auto"/>
          </w:tcPr>
          <w:p w14:paraId="69FEA4AD" w14:textId="77777777" w:rsidR="005416FF" w:rsidRPr="00AC5992" w:rsidRDefault="005416FF" w:rsidP="00AE452F">
            <w:pPr>
              <w:pStyle w:val="NoSpacing"/>
              <w:rPr>
                <w:rFonts w:eastAsia="Times New Roman"/>
              </w:rPr>
            </w:pPr>
            <w:r w:rsidRPr="00AC5992">
              <w:rPr>
                <w:rFonts w:eastAsia="Times New Roman"/>
              </w:rPr>
              <w:t xml:space="preserve">Social Condition x Reward Outcome x </w:t>
            </w:r>
            <w:r>
              <w:rPr>
                <w:rFonts w:eastAsia="Times New Roman" w:cstheme="minorHAnsi"/>
              </w:rPr>
              <w:t>Comorbidity</w:t>
            </w:r>
            <w:r w:rsidRPr="00AC5992">
              <w:rPr>
                <w:rFonts w:eastAsia="Times New Roman"/>
              </w:rPr>
              <w:t xml:space="preserve"> </w:t>
            </w:r>
          </w:p>
        </w:tc>
        <w:tc>
          <w:tcPr>
            <w:tcW w:w="1170" w:type="dxa"/>
            <w:shd w:val="clear" w:color="auto" w:fill="auto"/>
            <w:noWrap/>
            <w:vAlign w:val="center"/>
          </w:tcPr>
          <w:p w14:paraId="690076DC" w14:textId="77777777" w:rsidR="005416FF" w:rsidRPr="00161160" w:rsidRDefault="005416FF" w:rsidP="00AE452F">
            <w:pPr>
              <w:jc w:val="center"/>
            </w:pPr>
            <w:r w:rsidRPr="00161160">
              <w:t>0.20</w:t>
            </w:r>
          </w:p>
        </w:tc>
        <w:tc>
          <w:tcPr>
            <w:tcW w:w="812" w:type="dxa"/>
            <w:shd w:val="clear" w:color="auto" w:fill="auto"/>
            <w:noWrap/>
            <w:vAlign w:val="center"/>
          </w:tcPr>
          <w:p w14:paraId="51DCB2FB" w14:textId="77777777" w:rsidR="005416FF" w:rsidRDefault="005416FF" w:rsidP="00AE452F">
            <w:pPr>
              <w:jc w:val="center"/>
            </w:pPr>
            <w:r w:rsidRPr="00161160">
              <w:t>0.66</w:t>
            </w:r>
          </w:p>
        </w:tc>
        <w:tc>
          <w:tcPr>
            <w:tcW w:w="1168" w:type="dxa"/>
            <w:shd w:val="clear" w:color="auto" w:fill="auto"/>
            <w:vAlign w:val="center"/>
          </w:tcPr>
          <w:p w14:paraId="1ACB37F4" w14:textId="77777777" w:rsidR="005416FF" w:rsidRPr="009A1513" w:rsidRDefault="005416FF" w:rsidP="00AE452F">
            <w:pPr>
              <w:jc w:val="center"/>
            </w:pPr>
            <w:r w:rsidRPr="009A1513">
              <w:t>0.81</w:t>
            </w:r>
          </w:p>
        </w:tc>
        <w:tc>
          <w:tcPr>
            <w:tcW w:w="646" w:type="dxa"/>
            <w:shd w:val="clear" w:color="auto" w:fill="auto"/>
            <w:vAlign w:val="center"/>
          </w:tcPr>
          <w:p w14:paraId="012E4D48" w14:textId="77777777" w:rsidR="005416FF" w:rsidRDefault="005416FF" w:rsidP="00AE452F">
            <w:pPr>
              <w:jc w:val="center"/>
            </w:pPr>
            <w:r w:rsidRPr="009A1513">
              <w:t>0.38</w:t>
            </w:r>
          </w:p>
        </w:tc>
      </w:tr>
      <w:tr w:rsidR="005416FF" w:rsidRPr="00AC5992" w14:paraId="13C51982" w14:textId="77777777" w:rsidTr="00C2726D">
        <w:trPr>
          <w:trHeight w:val="251"/>
        </w:trPr>
        <w:tc>
          <w:tcPr>
            <w:tcW w:w="279" w:type="dxa"/>
            <w:vMerge/>
          </w:tcPr>
          <w:p w14:paraId="7F1B6EC3" w14:textId="77777777" w:rsidR="005416FF" w:rsidRPr="00AC5992" w:rsidRDefault="005416FF" w:rsidP="00AE452F">
            <w:pPr>
              <w:pStyle w:val="NoSpacing"/>
              <w:rPr>
                <w:rFonts w:eastAsia="Times New Roman" w:cstheme="minorHAnsi"/>
              </w:rPr>
            </w:pPr>
          </w:p>
        </w:tc>
        <w:tc>
          <w:tcPr>
            <w:tcW w:w="2866" w:type="dxa"/>
            <w:shd w:val="clear" w:color="auto" w:fill="auto"/>
          </w:tcPr>
          <w:p w14:paraId="5A7528F9" w14:textId="77777777" w:rsidR="005416FF" w:rsidRPr="00AC5992" w:rsidRDefault="005416FF" w:rsidP="00AE452F">
            <w:pPr>
              <w:pStyle w:val="NoSpacing"/>
              <w:rPr>
                <w:rFonts w:eastAsia="Times New Roman"/>
              </w:rPr>
            </w:pPr>
            <w:r w:rsidRPr="00AC5992">
              <w:rPr>
                <w:rFonts w:eastAsia="Times New Roman"/>
              </w:rPr>
              <w:t xml:space="preserve">Main effect of </w:t>
            </w:r>
            <w:r>
              <w:rPr>
                <w:rFonts w:eastAsia="Times New Roman" w:cstheme="minorHAnsi"/>
              </w:rPr>
              <w:t>Comorbidity</w:t>
            </w:r>
          </w:p>
        </w:tc>
        <w:tc>
          <w:tcPr>
            <w:tcW w:w="1170" w:type="dxa"/>
            <w:shd w:val="clear" w:color="auto" w:fill="auto"/>
            <w:noWrap/>
            <w:vAlign w:val="center"/>
          </w:tcPr>
          <w:p w14:paraId="5BB1B54B" w14:textId="77777777" w:rsidR="005416FF" w:rsidRPr="00F528EE" w:rsidRDefault="005416FF" w:rsidP="00AE452F">
            <w:pPr>
              <w:jc w:val="center"/>
            </w:pPr>
            <w:r w:rsidRPr="00F528EE">
              <w:t>0.11</w:t>
            </w:r>
          </w:p>
        </w:tc>
        <w:tc>
          <w:tcPr>
            <w:tcW w:w="812" w:type="dxa"/>
            <w:shd w:val="clear" w:color="auto" w:fill="auto"/>
            <w:noWrap/>
            <w:vAlign w:val="center"/>
          </w:tcPr>
          <w:p w14:paraId="4B84DA1C" w14:textId="77777777" w:rsidR="005416FF" w:rsidRDefault="005416FF" w:rsidP="00AE452F">
            <w:pPr>
              <w:jc w:val="center"/>
            </w:pPr>
            <w:r w:rsidRPr="00F528EE">
              <w:t>0.75</w:t>
            </w:r>
          </w:p>
        </w:tc>
        <w:tc>
          <w:tcPr>
            <w:tcW w:w="1168" w:type="dxa"/>
            <w:shd w:val="clear" w:color="auto" w:fill="auto"/>
            <w:vAlign w:val="center"/>
          </w:tcPr>
          <w:p w14:paraId="42B0322C" w14:textId="77777777" w:rsidR="005416FF" w:rsidRPr="008968B8" w:rsidRDefault="005416FF" w:rsidP="00AE452F">
            <w:pPr>
              <w:jc w:val="center"/>
            </w:pPr>
            <w:r w:rsidRPr="008968B8">
              <w:t>1.47</w:t>
            </w:r>
          </w:p>
        </w:tc>
        <w:tc>
          <w:tcPr>
            <w:tcW w:w="646" w:type="dxa"/>
            <w:shd w:val="clear" w:color="auto" w:fill="auto"/>
            <w:vAlign w:val="center"/>
          </w:tcPr>
          <w:p w14:paraId="7C819F31" w14:textId="77777777" w:rsidR="005416FF" w:rsidRDefault="005416FF" w:rsidP="00AE452F">
            <w:pPr>
              <w:jc w:val="center"/>
            </w:pPr>
            <w:r w:rsidRPr="008968B8">
              <w:t>0.24</w:t>
            </w:r>
          </w:p>
        </w:tc>
      </w:tr>
      <w:tr w:rsidR="005416FF" w:rsidRPr="00AC5992" w14:paraId="6DC817B7" w14:textId="77777777" w:rsidTr="00AE452F">
        <w:trPr>
          <w:trHeight w:val="251"/>
        </w:trPr>
        <w:tc>
          <w:tcPr>
            <w:tcW w:w="6941" w:type="dxa"/>
            <w:gridSpan w:val="6"/>
          </w:tcPr>
          <w:p w14:paraId="0B7049B3" w14:textId="64C2FFAD" w:rsidR="005416FF" w:rsidRPr="00AC5992" w:rsidRDefault="005416FF" w:rsidP="00AE452F">
            <w:pPr>
              <w:pStyle w:val="NoSpacing"/>
              <w:rPr>
                <w:rFonts w:cstheme="minorHAnsi"/>
                <w:b/>
              </w:rPr>
            </w:pPr>
            <w:r w:rsidRPr="00AC5992">
              <w:rPr>
                <w:rFonts w:cstheme="minorHAnsi"/>
                <w:b/>
              </w:rPr>
              <w:t xml:space="preserve">Model 3: Cue analysis </w:t>
            </w:r>
          </w:p>
        </w:tc>
      </w:tr>
      <w:tr w:rsidR="00C2726D" w:rsidRPr="00AC5992" w14:paraId="64FF2E0A" w14:textId="77777777" w:rsidTr="00C2726D">
        <w:trPr>
          <w:trHeight w:val="251"/>
        </w:trPr>
        <w:tc>
          <w:tcPr>
            <w:tcW w:w="279" w:type="dxa"/>
            <w:vMerge w:val="restart"/>
          </w:tcPr>
          <w:p w14:paraId="3042B075" w14:textId="77777777" w:rsidR="00C2726D" w:rsidRPr="00AC5992" w:rsidRDefault="00C2726D" w:rsidP="00AE452F">
            <w:pPr>
              <w:pStyle w:val="NoSpacing"/>
              <w:rPr>
                <w:rFonts w:eastAsia="Times New Roman" w:cstheme="minorHAnsi"/>
              </w:rPr>
            </w:pPr>
          </w:p>
        </w:tc>
        <w:tc>
          <w:tcPr>
            <w:tcW w:w="6662" w:type="dxa"/>
            <w:gridSpan w:val="5"/>
            <w:shd w:val="clear" w:color="auto" w:fill="auto"/>
          </w:tcPr>
          <w:p w14:paraId="09783E6A" w14:textId="77777777" w:rsidR="00C2726D" w:rsidRPr="00AC5992" w:rsidRDefault="00C2726D" w:rsidP="00AE452F">
            <w:pPr>
              <w:pStyle w:val="NoSpacing"/>
              <w:jc w:val="center"/>
              <w:rPr>
                <w:rFonts w:cstheme="minorHAnsi"/>
                <w:i/>
              </w:rPr>
            </w:pPr>
            <w:r w:rsidRPr="00AC5992">
              <w:rPr>
                <w:rFonts w:cstheme="minorHAnsi"/>
                <w:i/>
              </w:rPr>
              <w:t>Region: pgACC</w:t>
            </w:r>
          </w:p>
        </w:tc>
      </w:tr>
      <w:tr w:rsidR="00C2726D" w:rsidRPr="00AC5992" w14:paraId="5FA2E9C1" w14:textId="77777777" w:rsidTr="00C2726D">
        <w:trPr>
          <w:trHeight w:val="251"/>
        </w:trPr>
        <w:tc>
          <w:tcPr>
            <w:tcW w:w="279" w:type="dxa"/>
            <w:vMerge/>
          </w:tcPr>
          <w:p w14:paraId="2C96250D" w14:textId="77777777" w:rsidR="00C2726D" w:rsidRPr="00AC5992" w:rsidRDefault="00C2726D" w:rsidP="00AE452F">
            <w:pPr>
              <w:pStyle w:val="NoSpacing"/>
              <w:rPr>
                <w:rFonts w:eastAsia="Times New Roman" w:cstheme="minorHAnsi"/>
              </w:rPr>
            </w:pPr>
          </w:p>
        </w:tc>
        <w:tc>
          <w:tcPr>
            <w:tcW w:w="2866" w:type="dxa"/>
            <w:shd w:val="clear" w:color="auto" w:fill="auto"/>
          </w:tcPr>
          <w:p w14:paraId="17184163" w14:textId="77777777" w:rsidR="00C2726D" w:rsidRPr="00AC5992" w:rsidRDefault="00C2726D" w:rsidP="00AE452F">
            <w:pPr>
              <w:pStyle w:val="NoSpacing"/>
              <w:rPr>
                <w:rFonts w:eastAsia="Times New Roman"/>
              </w:rPr>
            </w:pPr>
          </w:p>
        </w:tc>
        <w:tc>
          <w:tcPr>
            <w:tcW w:w="1982" w:type="dxa"/>
            <w:gridSpan w:val="2"/>
            <w:shd w:val="clear" w:color="auto" w:fill="auto"/>
            <w:noWrap/>
          </w:tcPr>
          <w:p w14:paraId="18912864" w14:textId="77777777" w:rsidR="00C2726D" w:rsidRPr="004D6F2E" w:rsidRDefault="00C2726D" w:rsidP="00AE452F">
            <w:pPr>
              <w:spacing w:after="0" w:line="240" w:lineRule="auto"/>
              <w:jc w:val="center"/>
              <w:rPr>
                <w:rFonts w:eastAsia="Times New Roman" w:cstheme="minorHAnsi"/>
              </w:rPr>
            </w:pPr>
            <w:r>
              <w:rPr>
                <w:rFonts w:eastAsia="Times New Roman" w:cstheme="minorHAnsi"/>
              </w:rPr>
              <w:t>Depression</w:t>
            </w:r>
          </w:p>
        </w:tc>
        <w:tc>
          <w:tcPr>
            <w:tcW w:w="1814" w:type="dxa"/>
            <w:gridSpan w:val="2"/>
            <w:shd w:val="clear" w:color="auto" w:fill="auto"/>
          </w:tcPr>
          <w:p w14:paraId="13C74B5D" w14:textId="77777777" w:rsidR="00C2726D" w:rsidRPr="004D6F2E" w:rsidRDefault="00C2726D" w:rsidP="00AE452F">
            <w:pPr>
              <w:spacing w:after="0" w:line="240" w:lineRule="auto"/>
              <w:jc w:val="center"/>
              <w:rPr>
                <w:rFonts w:eastAsia="Times New Roman" w:cstheme="minorHAnsi"/>
              </w:rPr>
            </w:pPr>
            <w:r>
              <w:rPr>
                <w:rFonts w:eastAsia="Times New Roman" w:cstheme="minorHAnsi"/>
              </w:rPr>
              <w:t>ADHD</w:t>
            </w:r>
          </w:p>
        </w:tc>
      </w:tr>
      <w:tr w:rsidR="00C2726D" w:rsidRPr="00AC5992" w14:paraId="24BEF637" w14:textId="77777777" w:rsidTr="00C2726D">
        <w:trPr>
          <w:trHeight w:val="251"/>
        </w:trPr>
        <w:tc>
          <w:tcPr>
            <w:tcW w:w="279" w:type="dxa"/>
            <w:vMerge/>
          </w:tcPr>
          <w:p w14:paraId="07EE6915" w14:textId="77777777" w:rsidR="00C2726D" w:rsidRPr="00AC5992" w:rsidRDefault="00C2726D" w:rsidP="00AE452F">
            <w:pPr>
              <w:pStyle w:val="NoSpacing"/>
              <w:rPr>
                <w:rFonts w:eastAsia="Times New Roman" w:cstheme="minorHAnsi"/>
              </w:rPr>
            </w:pPr>
          </w:p>
        </w:tc>
        <w:tc>
          <w:tcPr>
            <w:tcW w:w="2866" w:type="dxa"/>
            <w:shd w:val="clear" w:color="auto" w:fill="auto"/>
          </w:tcPr>
          <w:p w14:paraId="6042078B" w14:textId="77777777" w:rsidR="00C2726D" w:rsidRPr="00AC5992" w:rsidRDefault="00C2726D" w:rsidP="00AE452F">
            <w:pPr>
              <w:pStyle w:val="NoSpacing"/>
              <w:rPr>
                <w:rFonts w:eastAsia="Times New Roman"/>
              </w:rPr>
            </w:pPr>
          </w:p>
        </w:tc>
        <w:tc>
          <w:tcPr>
            <w:tcW w:w="1170" w:type="dxa"/>
            <w:shd w:val="clear" w:color="auto" w:fill="auto"/>
            <w:noWrap/>
          </w:tcPr>
          <w:p w14:paraId="6028532F" w14:textId="77777777" w:rsidR="00C2726D" w:rsidRPr="00AC5992" w:rsidRDefault="00C2726D" w:rsidP="00AE452F">
            <w:pPr>
              <w:pStyle w:val="NoSpacing"/>
              <w:jc w:val="center"/>
              <w:rPr>
                <w:rFonts w:cstheme="minorHAnsi"/>
              </w:rPr>
            </w:pPr>
            <w:r>
              <w:rPr>
                <w:rFonts w:cstheme="minorHAnsi"/>
              </w:rPr>
              <w:t>t (df)</w:t>
            </w:r>
          </w:p>
        </w:tc>
        <w:tc>
          <w:tcPr>
            <w:tcW w:w="812" w:type="dxa"/>
            <w:shd w:val="clear" w:color="auto" w:fill="auto"/>
            <w:noWrap/>
          </w:tcPr>
          <w:p w14:paraId="060C1D4D" w14:textId="77777777" w:rsidR="00C2726D" w:rsidRPr="00AC5992" w:rsidRDefault="00C2726D" w:rsidP="00AE452F">
            <w:pPr>
              <w:pStyle w:val="NoSpacing"/>
              <w:jc w:val="center"/>
              <w:rPr>
                <w:rFonts w:cstheme="minorHAnsi"/>
              </w:rPr>
            </w:pPr>
            <w:r w:rsidRPr="00AC5992">
              <w:rPr>
                <w:rFonts w:cstheme="minorHAnsi"/>
              </w:rPr>
              <w:t>p</w:t>
            </w:r>
          </w:p>
        </w:tc>
        <w:tc>
          <w:tcPr>
            <w:tcW w:w="1168" w:type="dxa"/>
            <w:shd w:val="clear" w:color="auto" w:fill="auto"/>
          </w:tcPr>
          <w:p w14:paraId="19CCC3AE" w14:textId="77777777" w:rsidR="00C2726D" w:rsidRPr="00AC5992" w:rsidRDefault="00C2726D" w:rsidP="00AE452F">
            <w:pPr>
              <w:pStyle w:val="NoSpacing"/>
              <w:jc w:val="center"/>
              <w:rPr>
                <w:rFonts w:cstheme="minorHAnsi"/>
              </w:rPr>
            </w:pPr>
            <w:r>
              <w:rPr>
                <w:rFonts w:cstheme="minorHAnsi"/>
              </w:rPr>
              <w:t>t (df)</w:t>
            </w:r>
          </w:p>
        </w:tc>
        <w:tc>
          <w:tcPr>
            <w:tcW w:w="646" w:type="dxa"/>
            <w:shd w:val="clear" w:color="auto" w:fill="auto"/>
          </w:tcPr>
          <w:p w14:paraId="5F7BA03C" w14:textId="77777777" w:rsidR="00C2726D" w:rsidRPr="00AC5992" w:rsidRDefault="00C2726D" w:rsidP="00AE452F">
            <w:pPr>
              <w:pStyle w:val="NoSpacing"/>
              <w:jc w:val="center"/>
              <w:rPr>
                <w:rFonts w:cstheme="minorHAnsi"/>
              </w:rPr>
            </w:pPr>
            <w:r>
              <w:rPr>
                <w:rFonts w:cstheme="minorHAnsi"/>
              </w:rPr>
              <w:t>p</w:t>
            </w:r>
          </w:p>
        </w:tc>
      </w:tr>
      <w:tr w:rsidR="00C2726D" w:rsidRPr="00AC5992" w14:paraId="29A84584" w14:textId="77777777" w:rsidTr="00C2726D">
        <w:trPr>
          <w:trHeight w:val="251"/>
        </w:trPr>
        <w:tc>
          <w:tcPr>
            <w:tcW w:w="279" w:type="dxa"/>
            <w:vMerge/>
          </w:tcPr>
          <w:p w14:paraId="4CF85C58" w14:textId="77777777" w:rsidR="00C2726D" w:rsidRPr="00AC5992" w:rsidRDefault="00C2726D" w:rsidP="00AE452F">
            <w:pPr>
              <w:pStyle w:val="NoSpacing"/>
              <w:rPr>
                <w:rFonts w:eastAsia="Times New Roman" w:cstheme="minorHAnsi"/>
              </w:rPr>
            </w:pPr>
          </w:p>
        </w:tc>
        <w:tc>
          <w:tcPr>
            <w:tcW w:w="2866" w:type="dxa"/>
            <w:shd w:val="clear" w:color="auto" w:fill="auto"/>
          </w:tcPr>
          <w:p w14:paraId="6EFB76EE" w14:textId="77777777" w:rsidR="00C2726D" w:rsidRPr="00AC5992" w:rsidRDefault="00C2726D" w:rsidP="00AE452F">
            <w:pPr>
              <w:pStyle w:val="NoSpacing"/>
              <w:rPr>
                <w:rFonts w:eastAsia="Times New Roman"/>
              </w:rPr>
            </w:pPr>
            <w:r>
              <w:rPr>
                <w:rFonts w:eastAsia="Times New Roman"/>
              </w:rPr>
              <w:t>Independent samples t-test</w:t>
            </w:r>
          </w:p>
        </w:tc>
        <w:tc>
          <w:tcPr>
            <w:tcW w:w="1170" w:type="dxa"/>
            <w:shd w:val="clear" w:color="auto" w:fill="auto"/>
            <w:noWrap/>
            <w:vAlign w:val="center"/>
          </w:tcPr>
          <w:p w14:paraId="400E75EE" w14:textId="77777777" w:rsidR="00C2726D" w:rsidRPr="00AC5992" w:rsidRDefault="00C2726D" w:rsidP="00AE452F">
            <w:pPr>
              <w:pStyle w:val="NoSpacing"/>
              <w:jc w:val="center"/>
              <w:rPr>
                <w:rFonts w:cstheme="minorHAnsi"/>
              </w:rPr>
            </w:pPr>
            <w:r w:rsidRPr="001B7FF6">
              <w:rPr>
                <w:rFonts w:cstheme="minorHAnsi"/>
              </w:rPr>
              <w:t>0.86</w:t>
            </w:r>
            <w:r>
              <w:rPr>
                <w:rFonts w:cstheme="minorHAnsi"/>
              </w:rPr>
              <w:t xml:space="preserve"> (19)</w:t>
            </w:r>
          </w:p>
        </w:tc>
        <w:tc>
          <w:tcPr>
            <w:tcW w:w="812" w:type="dxa"/>
            <w:shd w:val="clear" w:color="auto" w:fill="auto"/>
            <w:noWrap/>
            <w:vAlign w:val="center"/>
          </w:tcPr>
          <w:p w14:paraId="05CF13D7" w14:textId="77777777" w:rsidR="00C2726D" w:rsidRPr="00AC5992" w:rsidRDefault="00C2726D" w:rsidP="00AE452F">
            <w:pPr>
              <w:pStyle w:val="NoSpacing"/>
              <w:jc w:val="center"/>
              <w:rPr>
                <w:rFonts w:cstheme="minorHAnsi"/>
              </w:rPr>
            </w:pPr>
            <w:r w:rsidRPr="001B7FF6">
              <w:rPr>
                <w:rFonts w:cstheme="minorHAnsi"/>
              </w:rPr>
              <w:t>0.40</w:t>
            </w:r>
          </w:p>
        </w:tc>
        <w:tc>
          <w:tcPr>
            <w:tcW w:w="1168" w:type="dxa"/>
            <w:shd w:val="clear" w:color="auto" w:fill="auto"/>
            <w:vAlign w:val="center"/>
          </w:tcPr>
          <w:p w14:paraId="7438D38D" w14:textId="77777777" w:rsidR="00C2726D" w:rsidRPr="00AC5992" w:rsidRDefault="00C2726D" w:rsidP="00AE452F">
            <w:pPr>
              <w:pStyle w:val="NoSpacing"/>
              <w:jc w:val="center"/>
              <w:rPr>
                <w:rFonts w:cstheme="minorHAnsi"/>
              </w:rPr>
            </w:pPr>
            <w:r w:rsidRPr="001B7FF6">
              <w:rPr>
                <w:rFonts w:cstheme="minorHAnsi"/>
              </w:rPr>
              <w:t>-0.02</w:t>
            </w:r>
            <w:r>
              <w:rPr>
                <w:rFonts w:cstheme="minorHAnsi"/>
              </w:rPr>
              <w:t xml:space="preserve"> (19)</w:t>
            </w:r>
          </w:p>
        </w:tc>
        <w:tc>
          <w:tcPr>
            <w:tcW w:w="646" w:type="dxa"/>
            <w:shd w:val="clear" w:color="auto" w:fill="auto"/>
            <w:vAlign w:val="center"/>
          </w:tcPr>
          <w:p w14:paraId="4318CE1F" w14:textId="77777777" w:rsidR="00C2726D" w:rsidRPr="00AC5992" w:rsidRDefault="00C2726D" w:rsidP="00AE452F">
            <w:pPr>
              <w:pStyle w:val="NoSpacing"/>
              <w:jc w:val="center"/>
              <w:rPr>
                <w:rFonts w:cstheme="minorHAnsi"/>
              </w:rPr>
            </w:pPr>
            <w:r w:rsidRPr="001B7FF6">
              <w:rPr>
                <w:rFonts w:cstheme="minorHAnsi"/>
              </w:rPr>
              <w:t>0.98</w:t>
            </w:r>
          </w:p>
        </w:tc>
      </w:tr>
    </w:tbl>
    <w:p w14:paraId="3F97336F" w14:textId="170B0A1A" w:rsidR="001B022B" w:rsidRDefault="001B022B" w:rsidP="00E518A4">
      <w:pPr>
        <w:spacing w:line="480" w:lineRule="auto"/>
        <w:rPr>
          <w:lang w:val="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525"/>
        <w:gridCol w:w="1282"/>
        <w:gridCol w:w="1283"/>
        <w:gridCol w:w="1283"/>
        <w:gridCol w:w="1283"/>
        <w:gridCol w:w="1283"/>
        <w:gridCol w:w="1283"/>
      </w:tblGrid>
      <w:tr w:rsidR="00A06080" w:rsidRPr="00C2726D" w14:paraId="20AC33B2" w14:textId="77777777" w:rsidTr="00A06080">
        <w:trPr>
          <w:trHeight w:val="361"/>
        </w:trPr>
        <w:tc>
          <w:tcPr>
            <w:tcW w:w="9493" w:type="dxa"/>
            <w:gridSpan w:val="8"/>
            <w:shd w:val="clear" w:color="auto" w:fill="auto"/>
            <w:noWrap/>
          </w:tcPr>
          <w:p w14:paraId="7ED085DC" w14:textId="3E40D3F8" w:rsidR="00A06080" w:rsidRPr="00C2726D" w:rsidRDefault="00A06080" w:rsidP="00A06080">
            <w:pPr>
              <w:rPr>
                <w:rFonts w:eastAsia="Times New Roman"/>
                <w:lang w:val="en-CA" w:eastAsia="en-CA"/>
              </w:rPr>
            </w:pPr>
            <w:r>
              <w:rPr>
                <w:rFonts w:eastAsia="Times New Roman"/>
                <w:lang w:val="en-CA" w:eastAsia="en-CA"/>
              </w:rPr>
              <w:t>Table S6. CTQ Amygdala Correlations</w:t>
            </w:r>
          </w:p>
        </w:tc>
      </w:tr>
      <w:tr w:rsidR="00C2726D" w:rsidRPr="00C2726D" w14:paraId="04CCE606" w14:textId="77777777" w:rsidTr="00C2726D">
        <w:trPr>
          <w:trHeight w:val="619"/>
        </w:trPr>
        <w:tc>
          <w:tcPr>
            <w:tcW w:w="1796" w:type="dxa"/>
            <w:gridSpan w:val="2"/>
            <w:shd w:val="clear" w:color="auto" w:fill="auto"/>
            <w:noWrap/>
            <w:vAlign w:val="bottom"/>
            <w:hideMark/>
          </w:tcPr>
          <w:p w14:paraId="3DF49D0C" w14:textId="77777777" w:rsidR="00C2726D" w:rsidRPr="00C2726D" w:rsidRDefault="00C2726D" w:rsidP="00C2726D">
            <w:pPr>
              <w:spacing w:after="0" w:line="240" w:lineRule="auto"/>
              <w:rPr>
                <w:rFonts w:ascii="Times New Roman" w:eastAsia="Times New Roman" w:hAnsi="Times New Roman" w:cs="Times New Roman"/>
                <w:sz w:val="24"/>
                <w:szCs w:val="24"/>
                <w:lang w:val="en-CA" w:eastAsia="en-CA"/>
              </w:rPr>
            </w:pPr>
          </w:p>
        </w:tc>
        <w:tc>
          <w:tcPr>
            <w:tcW w:w="1282" w:type="dxa"/>
            <w:shd w:val="clear" w:color="auto" w:fill="auto"/>
            <w:noWrap/>
            <w:vAlign w:val="bottom"/>
            <w:hideMark/>
          </w:tcPr>
          <w:p w14:paraId="6C39A4A2" w14:textId="754A502A" w:rsidR="00C2726D" w:rsidRPr="00C2726D" w:rsidRDefault="00C2726D" w:rsidP="00A06080">
            <w:pPr>
              <w:spacing w:after="0" w:line="240" w:lineRule="auto"/>
              <w:jc w:val="center"/>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CTQ</w:t>
            </w:r>
            <w:r>
              <w:rPr>
                <w:rFonts w:ascii="Calibri" w:eastAsia="Times New Roman" w:hAnsi="Calibri" w:cs="Calibri"/>
                <w:color w:val="000000"/>
                <w:lang w:val="en-CA" w:eastAsia="en-CA"/>
              </w:rPr>
              <w:t xml:space="preserve"> </w:t>
            </w:r>
            <w:r w:rsidRPr="00C2726D">
              <w:rPr>
                <w:rFonts w:ascii="Calibri" w:eastAsia="Times New Roman" w:hAnsi="Calibri" w:cs="Calibri"/>
                <w:color w:val="000000"/>
                <w:lang w:val="en-CA" w:eastAsia="en-CA"/>
              </w:rPr>
              <w:t>total</w:t>
            </w:r>
          </w:p>
        </w:tc>
        <w:tc>
          <w:tcPr>
            <w:tcW w:w="1283" w:type="dxa"/>
            <w:shd w:val="clear" w:color="auto" w:fill="auto"/>
            <w:noWrap/>
            <w:vAlign w:val="bottom"/>
            <w:hideMark/>
          </w:tcPr>
          <w:p w14:paraId="7A6DBB6E" w14:textId="4E842C56" w:rsidR="00C2726D" w:rsidRPr="00C2726D" w:rsidRDefault="00C2726D" w:rsidP="00A06080">
            <w:pPr>
              <w:spacing w:after="0" w:line="240" w:lineRule="auto"/>
              <w:jc w:val="center"/>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emotional</w:t>
            </w:r>
            <w:r>
              <w:rPr>
                <w:rFonts w:ascii="Calibri" w:eastAsia="Times New Roman" w:hAnsi="Calibri" w:cs="Calibri"/>
                <w:color w:val="000000"/>
                <w:lang w:val="en-CA" w:eastAsia="en-CA"/>
              </w:rPr>
              <w:t xml:space="preserve"> </w:t>
            </w:r>
            <w:r w:rsidRPr="00C2726D">
              <w:rPr>
                <w:rFonts w:ascii="Calibri" w:eastAsia="Times New Roman" w:hAnsi="Calibri" w:cs="Calibri"/>
                <w:color w:val="000000"/>
                <w:lang w:val="en-CA" w:eastAsia="en-CA"/>
              </w:rPr>
              <w:t>abuse</w:t>
            </w:r>
          </w:p>
        </w:tc>
        <w:tc>
          <w:tcPr>
            <w:tcW w:w="1283" w:type="dxa"/>
            <w:shd w:val="clear" w:color="auto" w:fill="auto"/>
            <w:noWrap/>
            <w:vAlign w:val="bottom"/>
            <w:hideMark/>
          </w:tcPr>
          <w:p w14:paraId="5EBC7068" w14:textId="73FB9B8D" w:rsidR="00C2726D" w:rsidRPr="00C2726D" w:rsidRDefault="00C2726D" w:rsidP="00A06080">
            <w:pPr>
              <w:spacing w:after="0" w:line="240" w:lineRule="auto"/>
              <w:jc w:val="center"/>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physical</w:t>
            </w:r>
            <w:r>
              <w:rPr>
                <w:rFonts w:ascii="Calibri" w:eastAsia="Times New Roman" w:hAnsi="Calibri" w:cs="Calibri"/>
                <w:color w:val="000000"/>
                <w:lang w:val="en-CA" w:eastAsia="en-CA"/>
              </w:rPr>
              <w:t xml:space="preserve"> </w:t>
            </w:r>
            <w:r w:rsidRPr="00C2726D">
              <w:rPr>
                <w:rFonts w:ascii="Calibri" w:eastAsia="Times New Roman" w:hAnsi="Calibri" w:cs="Calibri"/>
                <w:color w:val="000000"/>
                <w:lang w:val="en-CA" w:eastAsia="en-CA"/>
              </w:rPr>
              <w:t>abuse</w:t>
            </w:r>
          </w:p>
        </w:tc>
        <w:tc>
          <w:tcPr>
            <w:tcW w:w="1283" w:type="dxa"/>
            <w:shd w:val="clear" w:color="auto" w:fill="auto"/>
            <w:noWrap/>
            <w:vAlign w:val="bottom"/>
            <w:hideMark/>
          </w:tcPr>
          <w:p w14:paraId="7E3132F3" w14:textId="7A31C7B6" w:rsidR="00C2726D" w:rsidRPr="00C2726D" w:rsidRDefault="00C2726D" w:rsidP="00A06080">
            <w:pPr>
              <w:spacing w:after="0" w:line="240" w:lineRule="auto"/>
              <w:jc w:val="center"/>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sexual</w:t>
            </w:r>
            <w:r>
              <w:rPr>
                <w:rFonts w:ascii="Calibri" w:eastAsia="Times New Roman" w:hAnsi="Calibri" w:cs="Calibri"/>
                <w:color w:val="000000"/>
                <w:lang w:val="en-CA" w:eastAsia="en-CA"/>
              </w:rPr>
              <w:t xml:space="preserve"> </w:t>
            </w:r>
            <w:r w:rsidRPr="00C2726D">
              <w:rPr>
                <w:rFonts w:ascii="Calibri" w:eastAsia="Times New Roman" w:hAnsi="Calibri" w:cs="Calibri"/>
                <w:color w:val="000000"/>
                <w:lang w:val="en-CA" w:eastAsia="en-CA"/>
              </w:rPr>
              <w:t>abuse</w:t>
            </w:r>
          </w:p>
        </w:tc>
        <w:tc>
          <w:tcPr>
            <w:tcW w:w="1283" w:type="dxa"/>
            <w:shd w:val="clear" w:color="auto" w:fill="auto"/>
            <w:noWrap/>
            <w:vAlign w:val="bottom"/>
            <w:hideMark/>
          </w:tcPr>
          <w:p w14:paraId="407C8711" w14:textId="195BD3CA" w:rsidR="00C2726D" w:rsidRPr="00C2726D" w:rsidRDefault="00C2726D" w:rsidP="00A06080">
            <w:pPr>
              <w:spacing w:after="0" w:line="240" w:lineRule="auto"/>
              <w:jc w:val="center"/>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emotional</w:t>
            </w:r>
            <w:r>
              <w:rPr>
                <w:rFonts w:ascii="Calibri" w:eastAsia="Times New Roman" w:hAnsi="Calibri" w:cs="Calibri"/>
                <w:color w:val="000000"/>
                <w:lang w:val="en-CA" w:eastAsia="en-CA"/>
              </w:rPr>
              <w:t xml:space="preserve"> </w:t>
            </w:r>
            <w:r w:rsidRPr="00C2726D">
              <w:rPr>
                <w:rFonts w:ascii="Calibri" w:eastAsia="Times New Roman" w:hAnsi="Calibri" w:cs="Calibri"/>
                <w:color w:val="000000"/>
                <w:lang w:val="en-CA" w:eastAsia="en-CA"/>
              </w:rPr>
              <w:t>neglect</w:t>
            </w:r>
          </w:p>
        </w:tc>
        <w:tc>
          <w:tcPr>
            <w:tcW w:w="1283" w:type="dxa"/>
            <w:shd w:val="clear" w:color="auto" w:fill="auto"/>
            <w:noWrap/>
            <w:vAlign w:val="bottom"/>
            <w:hideMark/>
          </w:tcPr>
          <w:p w14:paraId="04567B82" w14:textId="7B542E46" w:rsidR="00C2726D" w:rsidRPr="00C2726D" w:rsidRDefault="00C2726D" w:rsidP="00A06080">
            <w:pPr>
              <w:spacing w:after="0" w:line="240" w:lineRule="auto"/>
              <w:jc w:val="center"/>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physical</w:t>
            </w:r>
            <w:r>
              <w:rPr>
                <w:rFonts w:ascii="Calibri" w:eastAsia="Times New Roman" w:hAnsi="Calibri" w:cs="Calibri"/>
                <w:color w:val="000000"/>
                <w:lang w:val="en-CA" w:eastAsia="en-CA"/>
              </w:rPr>
              <w:t xml:space="preserve"> </w:t>
            </w:r>
            <w:r w:rsidRPr="00C2726D">
              <w:rPr>
                <w:rFonts w:ascii="Calibri" w:eastAsia="Times New Roman" w:hAnsi="Calibri" w:cs="Calibri"/>
                <w:color w:val="000000"/>
                <w:lang w:val="en-CA" w:eastAsia="en-CA"/>
              </w:rPr>
              <w:t>neglect</w:t>
            </w:r>
          </w:p>
        </w:tc>
      </w:tr>
      <w:tr w:rsidR="00C2726D" w:rsidRPr="00C2726D" w14:paraId="17D31E57" w14:textId="77777777" w:rsidTr="00C2726D">
        <w:trPr>
          <w:trHeight w:val="620"/>
        </w:trPr>
        <w:tc>
          <w:tcPr>
            <w:tcW w:w="1271" w:type="dxa"/>
            <w:vMerge w:val="restart"/>
            <w:shd w:val="clear" w:color="auto" w:fill="auto"/>
            <w:noWrap/>
            <w:vAlign w:val="bottom"/>
            <w:hideMark/>
          </w:tcPr>
          <w:p w14:paraId="43A125B5" w14:textId="77777777" w:rsidR="00C2726D" w:rsidRPr="00C2726D" w:rsidRDefault="00C2726D" w:rsidP="00C2726D">
            <w:pPr>
              <w:spacing w:after="0" w:line="240" w:lineRule="auto"/>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Bilateral amygdala social loss&gt;non-social loss beta estimates</w:t>
            </w:r>
          </w:p>
        </w:tc>
        <w:tc>
          <w:tcPr>
            <w:tcW w:w="525" w:type="dxa"/>
            <w:shd w:val="clear" w:color="auto" w:fill="auto"/>
            <w:noWrap/>
            <w:vAlign w:val="bottom"/>
            <w:hideMark/>
          </w:tcPr>
          <w:p w14:paraId="18306D11" w14:textId="1BB7DC3D" w:rsidR="00C2726D" w:rsidRPr="00C2726D" w:rsidRDefault="00C2726D" w:rsidP="00C2726D">
            <w:pPr>
              <w:spacing w:after="0" w:line="240" w:lineRule="auto"/>
              <w:rPr>
                <w:rFonts w:ascii="Calibri" w:eastAsia="Times New Roman" w:hAnsi="Calibri" w:cs="Calibri"/>
                <w:color w:val="000000"/>
                <w:lang w:val="en-CA" w:eastAsia="en-CA"/>
              </w:rPr>
            </w:pPr>
            <w:r>
              <w:rPr>
                <w:rFonts w:ascii="Calibri" w:eastAsia="Times New Roman" w:hAnsi="Calibri" w:cs="Calibri"/>
                <w:color w:val="000000"/>
                <w:lang w:val="en-CA" w:eastAsia="en-CA"/>
              </w:rPr>
              <w:t>rho</w:t>
            </w:r>
          </w:p>
        </w:tc>
        <w:tc>
          <w:tcPr>
            <w:tcW w:w="1282" w:type="dxa"/>
            <w:shd w:val="clear" w:color="auto" w:fill="auto"/>
            <w:noWrap/>
            <w:vAlign w:val="bottom"/>
            <w:hideMark/>
          </w:tcPr>
          <w:p w14:paraId="14D4F6A0"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-0.35</w:t>
            </w:r>
          </w:p>
        </w:tc>
        <w:tc>
          <w:tcPr>
            <w:tcW w:w="1283" w:type="dxa"/>
            <w:shd w:val="clear" w:color="auto" w:fill="auto"/>
            <w:noWrap/>
            <w:vAlign w:val="bottom"/>
            <w:hideMark/>
          </w:tcPr>
          <w:p w14:paraId="49061C9C"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-0.25</w:t>
            </w:r>
          </w:p>
        </w:tc>
        <w:tc>
          <w:tcPr>
            <w:tcW w:w="1283" w:type="dxa"/>
            <w:shd w:val="clear" w:color="auto" w:fill="auto"/>
            <w:noWrap/>
            <w:vAlign w:val="bottom"/>
            <w:hideMark/>
          </w:tcPr>
          <w:p w14:paraId="0A846744" w14:textId="3C46D98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-.4</w:t>
            </w:r>
            <w:r>
              <w:rPr>
                <w:rFonts w:ascii="Calibri" w:eastAsia="Times New Roman" w:hAnsi="Calibri" w:cs="Calibri"/>
                <w:color w:val="000000"/>
                <w:lang w:val="en-CA" w:eastAsia="en-CA"/>
              </w:rPr>
              <w:t>6</w:t>
            </w:r>
          </w:p>
        </w:tc>
        <w:tc>
          <w:tcPr>
            <w:tcW w:w="1283" w:type="dxa"/>
            <w:shd w:val="clear" w:color="auto" w:fill="auto"/>
            <w:noWrap/>
            <w:vAlign w:val="bottom"/>
            <w:hideMark/>
          </w:tcPr>
          <w:p w14:paraId="147A3FF9"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0.02</w:t>
            </w:r>
          </w:p>
        </w:tc>
        <w:tc>
          <w:tcPr>
            <w:tcW w:w="1283" w:type="dxa"/>
            <w:shd w:val="clear" w:color="auto" w:fill="auto"/>
            <w:noWrap/>
            <w:vAlign w:val="bottom"/>
            <w:hideMark/>
          </w:tcPr>
          <w:p w14:paraId="30F4E3A3"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-0.35</w:t>
            </w:r>
          </w:p>
        </w:tc>
        <w:tc>
          <w:tcPr>
            <w:tcW w:w="1283" w:type="dxa"/>
            <w:shd w:val="clear" w:color="auto" w:fill="auto"/>
            <w:noWrap/>
            <w:vAlign w:val="bottom"/>
            <w:hideMark/>
          </w:tcPr>
          <w:p w14:paraId="3DCDB630"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-0.32</w:t>
            </w:r>
          </w:p>
        </w:tc>
      </w:tr>
      <w:tr w:rsidR="00C2726D" w:rsidRPr="00C2726D" w14:paraId="47AE06EF" w14:textId="77777777" w:rsidTr="00C2726D">
        <w:trPr>
          <w:trHeight w:val="620"/>
        </w:trPr>
        <w:tc>
          <w:tcPr>
            <w:tcW w:w="1271" w:type="dxa"/>
            <w:vMerge/>
            <w:vAlign w:val="center"/>
            <w:hideMark/>
          </w:tcPr>
          <w:p w14:paraId="193FAD59" w14:textId="77777777" w:rsidR="00C2726D" w:rsidRPr="00C2726D" w:rsidRDefault="00C2726D" w:rsidP="00C2726D">
            <w:pPr>
              <w:spacing w:after="0" w:line="240" w:lineRule="auto"/>
              <w:rPr>
                <w:rFonts w:ascii="Calibri" w:eastAsia="Times New Roman" w:hAnsi="Calibri" w:cs="Calibri"/>
                <w:color w:val="000000"/>
                <w:lang w:val="en-CA" w:eastAsia="en-CA"/>
              </w:rPr>
            </w:pPr>
          </w:p>
        </w:tc>
        <w:tc>
          <w:tcPr>
            <w:tcW w:w="525" w:type="dxa"/>
            <w:shd w:val="clear" w:color="auto" w:fill="auto"/>
            <w:noWrap/>
            <w:vAlign w:val="bottom"/>
            <w:hideMark/>
          </w:tcPr>
          <w:p w14:paraId="3AE9FC95" w14:textId="7383F380" w:rsidR="00C2726D" w:rsidRPr="00C2726D" w:rsidRDefault="00C2726D" w:rsidP="00C2726D">
            <w:pPr>
              <w:spacing w:after="0" w:line="240" w:lineRule="auto"/>
              <w:rPr>
                <w:rFonts w:ascii="Calibri" w:eastAsia="Times New Roman" w:hAnsi="Calibri" w:cs="Calibri"/>
                <w:color w:val="000000"/>
                <w:lang w:val="en-CA" w:eastAsia="en-CA"/>
              </w:rPr>
            </w:pPr>
            <w:r>
              <w:rPr>
                <w:rFonts w:ascii="Calibri" w:eastAsia="Times New Roman" w:hAnsi="Calibri" w:cs="Calibri"/>
                <w:color w:val="000000"/>
                <w:lang w:val="en-CA" w:eastAsia="en-CA"/>
              </w:rPr>
              <w:t>p</w:t>
            </w:r>
          </w:p>
        </w:tc>
        <w:tc>
          <w:tcPr>
            <w:tcW w:w="1282" w:type="dxa"/>
            <w:shd w:val="clear" w:color="auto" w:fill="auto"/>
            <w:noWrap/>
            <w:vAlign w:val="bottom"/>
            <w:hideMark/>
          </w:tcPr>
          <w:p w14:paraId="3D8BC462"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0.12</w:t>
            </w:r>
          </w:p>
        </w:tc>
        <w:tc>
          <w:tcPr>
            <w:tcW w:w="1283" w:type="dxa"/>
            <w:shd w:val="clear" w:color="auto" w:fill="auto"/>
            <w:noWrap/>
            <w:vAlign w:val="bottom"/>
            <w:hideMark/>
          </w:tcPr>
          <w:p w14:paraId="35F9BECA"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0.27</w:t>
            </w:r>
          </w:p>
        </w:tc>
        <w:tc>
          <w:tcPr>
            <w:tcW w:w="1283" w:type="dxa"/>
            <w:shd w:val="clear" w:color="auto" w:fill="auto"/>
            <w:noWrap/>
            <w:vAlign w:val="bottom"/>
            <w:hideMark/>
          </w:tcPr>
          <w:p w14:paraId="49192765"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0.04</w:t>
            </w:r>
          </w:p>
        </w:tc>
        <w:tc>
          <w:tcPr>
            <w:tcW w:w="1283" w:type="dxa"/>
            <w:shd w:val="clear" w:color="auto" w:fill="auto"/>
            <w:noWrap/>
            <w:vAlign w:val="bottom"/>
            <w:hideMark/>
          </w:tcPr>
          <w:p w14:paraId="650929A0"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0.93</w:t>
            </w:r>
          </w:p>
        </w:tc>
        <w:tc>
          <w:tcPr>
            <w:tcW w:w="1283" w:type="dxa"/>
            <w:shd w:val="clear" w:color="auto" w:fill="auto"/>
            <w:noWrap/>
            <w:vAlign w:val="bottom"/>
            <w:hideMark/>
          </w:tcPr>
          <w:p w14:paraId="2B8EDA75"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0.12</w:t>
            </w:r>
          </w:p>
        </w:tc>
        <w:tc>
          <w:tcPr>
            <w:tcW w:w="1283" w:type="dxa"/>
            <w:shd w:val="clear" w:color="auto" w:fill="auto"/>
            <w:noWrap/>
            <w:vAlign w:val="bottom"/>
            <w:hideMark/>
          </w:tcPr>
          <w:p w14:paraId="225F9399" w14:textId="77777777"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0.16</w:t>
            </w:r>
          </w:p>
        </w:tc>
      </w:tr>
      <w:tr w:rsidR="00C2726D" w:rsidRPr="00C2726D" w14:paraId="50BE3DD8" w14:textId="77777777" w:rsidTr="00C2726D">
        <w:trPr>
          <w:trHeight w:val="620"/>
        </w:trPr>
        <w:tc>
          <w:tcPr>
            <w:tcW w:w="1271" w:type="dxa"/>
            <w:vMerge/>
            <w:vAlign w:val="center"/>
            <w:hideMark/>
          </w:tcPr>
          <w:p w14:paraId="7A4CDB0F" w14:textId="77777777" w:rsidR="00C2726D" w:rsidRPr="00C2726D" w:rsidRDefault="00C2726D" w:rsidP="00C2726D">
            <w:pPr>
              <w:spacing w:after="0" w:line="240" w:lineRule="auto"/>
              <w:rPr>
                <w:rFonts w:ascii="Calibri" w:eastAsia="Times New Roman" w:hAnsi="Calibri" w:cs="Calibri"/>
                <w:color w:val="000000"/>
                <w:lang w:val="en-CA" w:eastAsia="en-CA"/>
              </w:rPr>
            </w:pPr>
          </w:p>
        </w:tc>
        <w:tc>
          <w:tcPr>
            <w:tcW w:w="525" w:type="dxa"/>
            <w:shd w:val="clear" w:color="auto" w:fill="auto"/>
            <w:noWrap/>
            <w:vAlign w:val="bottom"/>
            <w:hideMark/>
          </w:tcPr>
          <w:p w14:paraId="717CBF4A" w14:textId="77777777" w:rsidR="00C2726D" w:rsidRPr="00C2726D" w:rsidRDefault="00C2726D" w:rsidP="00C2726D">
            <w:pPr>
              <w:spacing w:after="0" w:line="240" w:lineRule="auto"/>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N</w:t>
            </w:r>
          </w:p>
        </w:tc>
        <w:tc>
          <w:tcPr>
            <w:tcW w:w="1282" w:type="dxa"/>
            <w:shd w:val="clear" w:color="auto" w:fill="auto"/>
            <w:noWrap/>
            <w:vAlign w:val="bottom"/>
            <w:hideMark/>
          </w:tcPr>
          <w:p w14:paraId="59C36900" w14:textId="3E91733E"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21</w:t>
            </w:r>
          </w:p>
        </w:tc>
        <w:tc>
          <w:tcPr>
            <w:tcW w:w="1283" w:type="dxa"/>
            <w:shd w:val="clear" w:color="auto" w:fill="auto"/>
            <w:noWrap/>
            <w:vAlign w:val="bottom"/>
            <w:hideMark/>
          </w:tcPr>
          <w:p w14:paraId="38A00D3A" w14:textId="15EF0EBE"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21</w:t>
            </w:r>
          </w:p>
        </w:tc>
        <w:tc>
          <w:tcPr>
            <w:tcW w:w="1283" w:type="dxa"/>
            <w:shd w:val="clear" w:color="auto" w:fill="auto"/>
            <w:noWrap/>
            <w:vAlign w:val="bottom"/>
            <w:hideMark/>
          </w:tcPr>
          <w:p w14:paraId="6F2836F2" w14:textId="4FE1E884"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21</w:t>
            </w:r>
          </w:p>
        </w:tc>
        <w:tc>
          <w:tcPr>
            <w:tcW w:w="1283" w:type="dxa"/>
            <w:shd w:val="clear" w:color="auto" w:fill="auto"/>
            <w:noWrap/>
            <w:vAlign w:val="bottom"/>
            <w:hideMark/>
          </w:tcPr>
          <w:p w14:paraId="74D0C9B0" w14:textId="04C202D6"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21</w:t>
            </w:r>
          </w:p>
        </w:tc>
        <w:tc>
          <w:tcPr>
            <w:tcW w:w="1283" w:type="dxa"/>
            <w:shd w:val="clear" w:color="auto" w:fill="auto"/>
            <w:noWrap/>
            <w:vAlign w:val="bottom"/>
            <w:hideMark/>
          </w:tcPr>
          <w:p w14:paraId="08D654CF" w14:textId="23A47EB0"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21</w:t>
            </w:r>
          </w:p>
        </w:tc>
        <w:tc>
          <w:tcPr>
            <w:tcW w:w="1283" w:type="dxa"/>
            <w:shd w:val="clear" w:color="auto" w:fill="auto"/>
            <w:noWrap/>
            <w:vAlign w:val="bottom"/>
            <w:hideMark/>
          </w:tcPr>
          <w:p w14:paraId="21804405" w14:textId="55F2B891" w:rsidR="00C2726D" w:rsidRPr="00C2726D" w:rsidRDefault="00C2726D" w:rsidP="00C2726D">
            <w:pPr>
              <w:spacing w:after="0" w:line="240" w:lineRule="auto"/>
              <w:jc w:val="right"/>
              <w:rPr>
                <w:rFonts w:ascii="Calibri" w:eastAsia="Times New Roman" w:hAnsi="Calibri" w:cs="Calibri"/>
                <w:color w:val="000000"/>
                <w:lang w:val="en-CA" w:eastAsia="en-CA"/>
              </w:rPr>
            </w:pPr>
            <w:r w:rsidRPr="00C2726D">
              <w:rPr>
                <w:rFonts w:ascii="Calibri" w:eastAsia="Times New Roman" w:hAnsi="Calibri" w:cs="Calibri"/>
                <w:color w:val="000000"/>
                <w:lang w:val="en-CA" w:eastAsia="en-CA"/>
              </w:rPr>
              <w:t>21</w:t>
            </w:r>
          </w:p>
        </w:tc>
      </w:tr>
    </w:tbl>
    <w:p w14:paraId="1D8F45F0" w14:textId="77777777" w:rsidR="00C2726D" w:rsidRDefault="00C2726D" w:rsidP="00E518A4">
      <w:pPr>
        <w:spacing w:line="480" w:lineRule="auto"/>
        <w:rPr>
          <w:lang w:val="en-US"/>
        </w:rPr>
      </w:pPr>
    </w:p>
    <w:p w14:paraId="518D3DA9" w14:textId="119CAC69" w:rsidR="00673145" w:rsidRDefault="007C7A7D" w:rsidP="00673145">
      <w:pPr>
        <w:spacing w:line="480" w:lineRule="auto"/>
        <w:jc w:val="center"/>
        <w:rPr>
          <w:lang w:val="en-US"/>
        </w:rPr>
      </w:pPr>
      <w:r w:rsidRPr="007C7A7D">
        <w:rPr>
          <w:noProof/>
          <w:lang w:val="en-US"/>
        </w:rPr>
        <w:lastRenderedPageBreak/>
        <w:drawing>
          <wp:inline distT="0" distB="0" distL="0" distR="0" wp14:anchorId="428F05C5" wp14:editId="03DD374E">
            <wp:extent cx="3395766" cy="4035902"/>
            <wp:effectExtent l="0" t="0" r="0" b="3175"/>
            <wp:docPr id="1161" name="Picture 1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 name="Picture 1160"/>
                    <pic:cNvPicPr>
                      <a:picLocks noChangeAspect="1"/>
                    </pic:cNvPicPr>
                  </pic:nvPicPr>
                  <pic:blipFill>
                    <a:blip r:embed="rId5"/>
                    <a:stretch>
                      <a:fillRect/>
                    </a:stretch>
                  </pic:blipFill>
                  <pic:spPr>
                    <a:xfrm>
                      <a:off x="0" y="0"/>
                      <a:ext cx="3395766" cy="4035902"/>
                    </a:xfrm>
                    <a:prstGeom prst="rect">
                      <a:avLst/>
                    </a:prstGeom>
                  </pic:spPr>
                </pic:pic>
              </a:graphicData>
            </a:graphic>
          </wp:inline>
        </w:drawing>
      </w:r>
    </w:p>
    <w:p w14:paraId="54772F16" w14:textId="5051DC6C" w:rsidR="00673145" w:rsidRPr="00673145" w:rsidRDefault="00673145" w:rsidP="00E518A4">
      <w:pPr>
        <w:spacing w:line="480" w:lineRule="auto"/>
        <w:rPr>
          <w:lang w:val="en-US"/>
        </w:rPr>
      </w:pPr>
      <w:r w:rsidRPr="00673145">
        <w:rPr>
          <w:b/>
          <w:lang w:val="en-US"/>
        </w:rPr>
        <w:t>Figure S</w:t>
      </w:r>
      <w:r w:rsidR="00D057CF">
        <w:rPr>
          <w:b/>
          <w:lang w:val="en-US"/>
        </w:rPr>
        <w:t>1</w:t>
      </w:r>
      <w:r w:rsidRPr="00673145">
        <w:rPr>
          <w:b/>
          <w:lang w:val="en-US"/>
        </w:rPr>
        <w:t>:</w:t>
      </w:r>
      <w:r>
        <w:rPr>
          <w:b/>
          <w:lang w:val="en-US"/>
        </w:rPr>
        <w:t xml:space="preserve"> SPM design matrix from Model 3 showing the group covariate contrast that produced the pgACC activation. </w:t>
      </w:r>
      <w:r>
        <w:rPr>
          <w:lang w:val="en-US"/>
        </w:rPr>
        <w:t xml:space="preserve">The </w:t>
      </w:r>
      <w:r w:rsidR="007C7A7D">
        <w:rPr>
          <w:lang w:val="en-US"/>
        </w:rPr>
        <w:t>beta estimates from the amygdala ROI during the social loss (vs non-social loss) feedback were entered as a covariate into an independent samples t-test for the contrast social cue&gt;non-social cue contrast. The example shows here the group (HC&gt;BPD) contrast which produced the pgACC activation explained in in the main paper (i.e. Figure 4).</w:t>
      </w:r>
    </w:p>
    <w:sectPr w:rsidR="00673145" w:rsidRPr="00673145" w:rsidSect="00E8664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CA" w:vendorID="64" w:dllVersion="0" w:nlCheck="1" w:checkStyle="0"/>
  <w:activeWritingStyle w:appName="MSWord" w:lang="en-GB" w:vendorID="64" w:dllVersion="0" w:nlCheck="1" w:checkStyle="0"/>
  <w:activeWritingStyle w:appName="MSWord" w:lang="en-CA" w:vendorID="64" w:dllVersion="6" w:nlCheck="1" w:checkStyle="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10"/>
    <w:rsid w:val="000043E9"/>
    <w:rsid w:val="000441D2"/>
    <w:rsid w:val="00083705"/>
    <w:rsid w:val="000B317E"/>
    <w:rsid w:val="000E12A7"/>
    <w:rsid w:val="00123E73"/>
    <w:rsid w:val="00124AE9"/>
    <w:rsid w:val="0013671E"/>
    <w:rsid w:val="0015704C"/>
    <w:rsid w:val="001851E5"/>
    <w:rsid w:val="001B022B"/>
    <w:rsid w:val="001C18D0"/>
    <w:rsid w:val="001D357D"/>
    <w:rsid w:val="001E4F5C"/>
    <w:rsid w:val="001E781B"/>
    <w:rsid w:val="00207003"/>
    <w:rsid w:val="0025538F"/>
    <w:rsid w:val="00256F35"/>
    <w:rsid w:val="00283FEE"/>
    <w:rsid w:val="00297558"/>
    <w:rsid w:val="002F3B3F"/>
    <w:rsid w:val="00312FF6"/>
    <w:rsid w:val="003212A1"/>
    <w:rsid w:val="00345007"/>
    <w:rsid w:val="003770D2"/>
    <w:rsid w:val="003A5667"/>
    <w:rsid w:val="003E5061"/>
    <w:rsid w:val="003E63FF"/>
    <w:rsid w:val="004109C2"/>
    <w:rsid w:val="00415554"/>
    <w:rsid w:val="00421946"/>
    <w:rsid w:val="00425EBE"/>
    <w:rsid w:val="004477EC"/>
    <w:rsid w:val="00465980"/>
    <w:rsid w:val="00494621"/>
    <w:rsid w:val="00496457"/>
    <w:rsid w:val="004975EE"/>
    <w:rsid w:val="00504517"/>
    <w:rsid w:val="005356EF"/>
    <w:rsid w:val="005416FF"/>
    <w:rsid w:val="005A56F2"/>
    <w:rsid w:val="005C224F"/>
    <w:rsid w:val="005E1BB3"/>
    <w:rsid w:val="006058C7"/>
    <w:rsid w:val="006106EA"/>
    <w:rsid w:val="00612EEA"/>
    <w:rsid w:val="006230A4"/>
    <w:rsid w:val="006356FD"/>
    <w:rsid w:val="00672C02"/>
    <w:rsid w:val="00673145"/>
    <w:rsid w:val="00684D96"/>
    <w:rsid w:val="00685FF8"/>
    <w:rsid w:val="006A2EE5"/>
    <w:rsid w:val="006F52F5"/>
    <w:rsid w:val="007246BD"/>
    <w:rsid w:val="0072654B"/>
    <w:rsid w:val="00737839"/>
    <w:rsid w:val="00746108"/>
    <w:rsid w:val="00746A02"/>
    <w:rsid w:val="00793824"/>
    <w:rsid w:val="007A6AFF"/>
    <w:rsid w:val="007C446B"/>
    <w:rsid w:val="007C5E25"/>
    <w:rsid w:val="007C7A7D"/>
    <w:rsid w:val="007E12E9"/>
    <w:rsid w:val="007E177C"/>
    <w:rsid w:val="007F1F48"/>
    <w:rsid w:val="007F3310"/>
    <w:rsid w:val="007F39A1"/>
    <w:rsid w:val="00805B89"/>
    <w:rsid w:val="00817AA9"/>
    <w:rsid w:val="008351D5"/>
    <w:rsid w:val="00841894"/>
    <w:rsid w:val="00861EFA"/>
    <w:rsid w:val="00866DE3"/>
    <w:rsid w:val="00875DC4"/>
    <w:rsid w:val="008C3404"/>
    <w:rsid w:val="008D28D2"/>
    <w:rsid w:val="008E1C63"/>
    <w:rsid w:val="008F125C"/>
    <w:rsid w:val="008F129B"/>
    <w:rsid w:val="00904B75"/>
    <w:rsid w:val="00986154"/>
    <w:rsid w:val="009A32DB"/>
    <w:rsid w:val="009A7C28"/>
    <w:rsid w:val="009D379E"/>
    <w:rsid w:val="009E33D3"/>
    <w:rsid w:val="009F2074"/>
    <w:rsid w:val="009F2BFF"/>
    <w:rsid w:val="00A06080"/>
    <w:rsid w:val="00A121EA"/>
    <w:rsid w:val="00A21363"/>
    <w:rsid w:val="00A57B29"/>
    <w:rsid w:val="00AA593C"/>
    <w:rsid w:val="00AC5992"/>
    <w:rsid w:val="00AF54BA"/>
    <w:rsid w:val="00B051DF"/>
    <w:rsid w:val="00B314DA"/>
    <w:rsid w:val="00B46387"/>
    <w:rsid w:val="00B7640F"/>
    <w:rsid w:val="00B84383"/>
    <w:rsid w:val="00B93EBA"/>
    <w:rsid w:val="00B96614"/>
    <w:rsid w:val="00BA36CC"/>
    <w:rsid w:val="00BB3968"/>
    <w:rsid w:val="00BE4433"/>
    <w:rsid w:val="00BE69F2"/>
    <w:rsid w:val="00C2726D"/>
    <w:rsid w:val="00C42A41"/>
    <w:rsid w:val="00C42AA3"/>
    <w:rsid w:val="00C43C72"/>
    <w:rsid w:val="00C6199E"/>
    <w:rsid w:val="00C910B1"/>
    <w:rsid w:val="00CA7314"/>
    <w:rsid w:val="00D02658"/>
    <w:rsid w:val="00D057CF"/>
    <w:rsid w:val="00D237A9"/>
    <w:rsid w:val="00D26575"/>
    <w:rsid w:val="00D40953"/>
    <w:rsid w:val="00D40D0C"/>
    <w:rsid w:val="00D81862"/>
    <w:rsid w:val="00D91002"/>
    <w:rsid w:val="00DC03B5"/>
    <w:rsid w:val="00DE0BDF"/>
    <w:rsid w:val="00DE5065"/>
    <w:rsid w:val="00E05895"/>
    <w:rsid w:val="00E518A4"/>
    <w:rsid w:val="00E52F3F"/>
    <w:rsid w:val="00E86642"/>
    <w:rsid w:val="00EA44B5"/>
    <w:rsid w:val="00EB398C"/>
    <w:rsid w:val="00EC353F"/>
    <w:rsid w:val="00EC37E4"/>
    <w:rsid w:val="00EE3961"/>
    <w:rsid w:val="00EF563D"/>
    <w:rsid w:val="00F06A49"/>
    <w:rsid w:val="00F26DEA"/>
    <w:rsid w:val="00F32F19"/>
    <w:rsid w:val="00F6787C"/>
    <w:rsid w:val="00FB4F1F"/>
    <w:rsid w:val="00FC72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7CF00"/>
  <w15:docId w15:val="{D47425D5-13D5-47C8-BD2C-EBA4D722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F3310"/>
  </w:style>
  <w:style w:type="paragraph" w:styleId="Heading1">
    <w:name w:val="heading 1"/>
    <w:basedOn w:val="Normal"/>
    <w:next w:val="Normal"/>
    <w:link w:val="Heading1Char"/>
    <w:uiPriority w:val="9"/>
    <w:qFormat/>
    <w:rsid w:val="007F331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F331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97558"/>
    <w:pPr>
      <w:spacing w:before="200" w:after="0" w:line="480" w:lineRule="auto"/>
      <w:outlineLvl w:val="2"/>
    </w:pPr>
    <w:rPr>
      <w:rFonts w:eastAsiaTheme="majorEastAsia" w:cstheme="minorHAnsi"/>
      <w:b/>
      <w:bCs/>
    </w:rPr>
  </w:style>
  <w:style w:type="paragraph" w:styleId="Heading4">
    <w:name w:val="heading 4"/>
    <w:basedOn w:val="Normal"/>
    <w:next w:val="Normal"/>
    <w:link w:val="Heading4Char"/>
    <w:uiPriority w:val="9"/>
    <w:semiHidden/>
    <w:unhideWhenUsed/>
    <w:qFormat/>
    <w:rsid w:val="007F331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7F331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F331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F331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F331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F331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31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7F331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97558"/>
    <w:rPr>
      <w:rFonts w:eastAsiaTheme="majorEastAsia" w:cstheme="minorHAnsi"/>
      <w:b/>
      <w:bCs/>
    </w:rPr>
  </w:style>
  <w:style w:type="character" w:customStyle="1" w:styleId="Heading4Char">
    <w:name w:val="Heading 4 Char"/>
    <w:basedOn w:val="DefaultParagraphFont"/>
    <w:link w:val="Heading4"/>
    <w:uiPriority w:val="9"/>
    <w:semiHidden/>
    <w:rsid w:val="007F331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F331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F331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F331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F331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F3310"/>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F331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F331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F331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F3310"/>
    <w:rPr>
      <w:rFonts w:asciiTheme="majorHAnsi" w:eastAsiaTheme="majorEastAsia" w:hAnsiTheme="majorHAnsi" w:cstheme="majorBidi"/>
      <w:i/>
      <w:iCs/>
      <w:spacing w:val="13"/>
      <w:sz w:val="24"/>
      <w:szCs w:val="24"/>
    </w:rPr>
  </w:style>
  <w:style w:type="character" w:styleId="Strong">
    <w:name w:val="Strong"/>
    <w:uiPriority w:val="22"/>
    <w:qFormat/>
    <w:rsid w:val="007F3310"/>
    <w:rPr>
      <w:b/>
      <w:bCs/>
    </w:rPr>
  </w:style>
  <w:style w:type="character" w:styleId="Emphasis">
    <w:name w:val="Emphasis"/>
    <w:uiPriority w:val="20"/>
    <w:qFormat/>
    <w:rsid w:val="007F3310"/>
    <w:rPr>
      <w:b/>
      <w:bCs/>
      <w:i/>
      <w:iCs/>
      <w:spacing w:val="10"/>
      <w:bdr w:val="none" w:sz="0" w:space="0" w:color="auto"/>
      <w:shd w:val="clear" w:color="auto" w:fill="auto"/>
    </w:rPr>
  </w:style>
  <w:style w:type="paragraph" w:styleId="NoSpacing">
    <w:name w:val="No Spacing"/>
    <w:basedOn w:val="Normal"/>
    <w:uiPriority w:val="1"/>
    <w:qFormat/>
    <w:rsid w:val="007F3310"/>
    <w:pPr>
      <w:spacing w:after="0" w:line="240" w:lineRule="auto"/>
    </w:pPr>
  </w:style>
  <w:style w:type="paragraph" w:styleId="ListParagraph">
    <w:name w:val="List Paragraph"/>
    <w:basedOn w:val="Normal"/>
    <w:uiPriority w:val="34"/>
    <w:qFormat/>
    <w:rsid w:val="007F3310"/>
    <w:pPr>
      <w:ind w:left="720"/>
      <w:contextualSpacing/>
    </w:pPr>
  </w:style>
  <w:style w:type="paragraph" w:styleId="Quote">
    <w:name w:val="Quote"/>
    <w:basedOn w:val="Normal"/>
    <w:next w:val="Normal"/>
    <w:link w:val="QuoteChar"/>
    <w:uiPriority w:val="29"/>
    <w:qFormat/>
    <w:rsid w:val="007F3310"/>
    <w:pPr>
      <w:spacing w:before="200" w:after="0"/>
      <w:ind w:left="360" w:right="360"/>
    </w:pPr>
    <w:rPr>
      <w:i/>
      <w:iCs/>
    </w:rPr>
  </w:style>
  <w:style w:type="character" w:customStyle="1" w:styleId="QuoteChar">
    <w:name w:val="Quote Char"/>
    <w:basedOn w:val="DefaultParagraphFont"/>
    <w:link w:val="Quote"/>
    <w:uiPriority w:val="29"/>
    <w:rsid w:val="007F3310"/>
    <w:rPr>
      <w:i/>
      <w:iCs/>
    </w:rPr>
  </w:style>
  <w:style w:type="paragraph" w:styleId="IntenseQuote">
    <w:name w:val="Intense Quote"/>
    <w:basedOn w:val="Normal"/>
    <w:next w:val="Normal"/>
    <w:link w:val="IntenseQuoteChar"/>
    <w:uiPriority w:val="30"/>
    <w:qFormat/>
    <w:rsid w:val="007F331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F3310"/>
    <w:rPr>
      <w:b/>
      <w:bCs/>
      <w:i/>
      <w:iCs/>
    </w:rPr>
  </w:style>
  <w:style w:type="character" w:styleId="SubtleEmphasis">
    <w:name w:val="Subtle Emphasis"/>
    <w:uiPriority w:val="19"/>
    <w:qFormat/>
    <w:rsid w:val="007F3310"/>
    <w:rPr>
      <w:i/>
      <w:iCs/>
    </w:rPr>
  </w:style>
  <w:style w:type="character" w:styleId="IntenseEmphasis">
    <w:name w:val="Intense Emphasis"/>
    <w:uiPriority w:val="21"/>
    <w:qFormat/>
    <w:rsid w:val="007F3310"/>
    <w:rPr>
      <w:b/>
      <w:bCs/>
    </w:rPr>
  </w:style>
  <w:style w:type="character" w:styleId="SubtleReference">
    <w:name w:val="Subtle Reference"/>
    <w:uiPriority w:val="31"/>
    <w:qFormat/>
    <w:rsid w:val="007F3310"/>
    <w:rPr>
      <w:smallCaps/>
    </w:rPr>
  </w:style>
  <w:style w:type="character" w:styleId="IntenseReference">
    <w:name w:val="Intense Reference"/>
    <w:uiPriority w:val="32"/>
    <w:qFormat/>
    <w:rsid w:val="007F3310"/>
    <w:rPr>
      <w:smallCaps/>
      <w:spacing w:val="5"/>
      <w:u w:val="single"/>
    </w:rPr>
  </w:style>
  <w:style w:type="character" w:styleId="BookTitle">
    <w:name w:val="Book Title"/>
    <w:uiPriority w:val="33"/>
    <w:qFormat/>
    <w:rsid w:val="007F3310"/>
    <w:rPr>
      <w:i/>
      <w:iCs/>
      <w:smallCaps/>
      <w:spacing w:val="5"/>
    </w:rPr>
  </w:style>
  <w:style w:type="paragraph" w:styleId="TOCHeading">
    <w:name w:val="TOC Heading"/>
    <w:basedOn w:val="Heading1"/>
    <w:next w:val="Normal"/>
    <w:uiPriority w:val="39"/>
    <w:semiHidden/>
    <w:unhideWhenUsed/>
    <w:qFormat/>
    <w:rsid w:val="007F3310"/>
    <w:pPr>
      <w:outlineLvl w:val="9"/>
    </w:pPr>
    <w:rPr>
      <w:lang w:bidi="en-US"/>
    </w:rPr>
  </w:style>
  <w:style w:type="paragraph" w:styleId="BalloonText">
    <w:name w:val="Balloon Text"/>
    <w:basedOn w:val="Normal"/>
    <w:link w:val="BalloonTextChar"/>
    <w:uiPriority w:val="99"/>
    <w:semiHidden/>
    <w:unhideWhenUsed/>
    <w:rsid w:val="00C91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0B1"/>
    <w:rPr>
      <w:rFonts w:ascii="Tahoma" w:hAnsi="Tahoma" w:cs="Tahoma"/>
      <w:sz w:val="16"/>
      <w:szCs w:val="16"/>
    </w:rPr>
  </w:style>
  <w:style w:type="character" w:styleId="CommentReference">
    <w:name w:val="annotation reference"/>
    <w:basedOn w:val="DefaultParagraphFont"/>
    <w:uiPriority w:val="99"/>
    <w:unhideWhenUsed/>
    <w:rsid w:val="00DC03B5"/>
    <w:rPr>
      <w:sz w:val="16"/>
      <w:szCs w:val="16"/>
    </w:rPr>
  </w:style>
  <w:style w:type="paragraph" w:styleId="CommentText">
    <w:name w:val="annotation text"/>
    <w:basedOn w:val="Normal"/>
    <w:link w:val="CommentTextChar"/>
    <w:uiPriority w:val="99"/>
    <w:unhideWhenUsed/>
    <w:rsid w:val="00DC03B5"/>
    <w:pPr>
      <w:spacing w:line="240" w:lineRule="auto"/>
    </w:pPr>
    <w:rPr>
      <w:sz w:val="20"/>
      <w:szCs w:val="20"/>
    </w:rPr>
  </w:style>
  <w:style w:type="character" w:customStyle="1" w:styleId="CommentTextChar">
    <w:name w:val="Comment Text Char"/>
    <w:basedOn w:val="DefaultParagraphFont"/>
    <w:link w:val="CommentText"/>
    <w:uiPriority w:val="99"/>
    <w:semiHidden/>
    <w:rsid w:val="00DC03B5"/>
    <w:rPr>
      <w:sz w:val="20"/>
      <w:szCs w:val="20"/>
    </w:rPr>
  </w:style>
  <w:style w:type="paragraph" w:styleId="CommentSubject">
    <w:name w:val="annotation subject"/>
    <w:basedOn w:val="CommentText"/>
    <w:next w:val="CommentText"/>
    <w:link w:val="CommentSubjectChar"/>
    <w:uiPriority w:val="99"/>
    <w:semiHidden/>
    <w:unhideWhenUsed/>
    <w:rsid w:val="00DC03B5"/>
    <w:rPr>
      <w:b/>
      <w:bCs/>
    </w:rPr>
  </w:style>
  <w:style w:type="character" w:customStyle="1" w:styleId="CommentSubjectChar">
    <w:name w:val="Comment Subject Char"/>
    <w:basedOn w:val="CommentTextChar"/>
    <w:link w:val="CommentSubject"/>
    <w:uiPriority w:val="99"/>
    <w:semiHidden/>
    <w:rsid w:val="00DC03B5"/>
    <w:rPr>
      <w:b/>
      <w:bCs/>
      <w:sz w:val="20"/>
      <w:szCs w:val="20"/>
    </w:rPr>
  </w:style>
  <w:style w:type="paragraph" w:styleId="NormalWeb">
    <w:name w:val="Normal (Web)"/>
    <w:basedOn w:val="Normal"/>
    <w:uiPriority w:val="99"/>
    <w:unhideWhenUsed/>
    <w:rsid w:val="00AF54BA"/>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LineNumber">
    <w:name w:val="line number"/>
    <w:basedOn w:val="DefaultParagraphFont"/>
    <w:uiPriority w:val="99"/>
    <w:semiHidden/>
    <w:unhideWhenUsed/>
    <w:rsid w:val="00C42AA3"/>
  </w:style>
  <w:style w:type="paragraph" w:styleId="Revision">
    <w:name w:val="Revision"/>
    <w:hidden/>
    <w:uiPriority w:val="99"/>
    <w:semiHidden/>
    <w:rsid w:val="00612EEA"/>
    <w:pPr>
      <w:spacing w:after="0" w:line="240" w:lineRule="auto"/>
    </w:pPr>
  </w:style>
  <w:style w:type="table" w:styleId="TableGrid">
    <w:name w:val="Table Grid"/>
    <w:basedOn w:val="TableNormal"/>
    <w:uiPriority w:val="59"/>
    <w:rsid w:val="00FC72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10119">
      <w:bodyDiv w:val="1"/>
      <w:marLeft w:val="0"/>
      <w:marRight w:val="0"/>
      <w:marTop w:val="0"/>
      <w:marBottom w:val="0"/>
      <w:divBdr>
        <w:top w:val="none" w:sz="0" w:space="0" w:color="auto"/>
        <w:left w:val="none" w:sz="0" w:space="0" w:color="auto"/>
        <w:bottom w:val="none" w:sz="0" w:space="0" w:color="auto"/>
        <w:right w:val="none" w:sz="0" w:space="0" w:color="auto"/>
      </w:divBdr>
    </w:div>
    <w:div w:id="137036455">
      <w:bodyDiv w:val="1"/>
      <w:marLeft w:val="0"/>
      <w:marRight w:val="0"/>
      <w:marTop w:val="0"/>
      <w:marBottom w:val="0"/>
      <w:divBdr>
        <w:top w:val="none" w:sz="0" w:space="0" w:color="auto"/>
        <w:left w:val="none" w:sz="0" w:space="0" w:color="auto"/>
        <w:bottom w:val="none" w:sz="0" w:space="0" w:color="auto"/>
        <w:right w:val="none" w:sz="0" w:space="0" w:color="auto"/>
      </w:divBdr>
    </w:div>
    <w:div w:id="206913936">
      <w:bodyDiv w:val="1"/>
      <w:marLeft w:val="0"/>
      <w:marRight w:val="0"/>
      <w:marTop w:val="0"/>
      <w:marBottom w:val="0"/>
      <w:divBdr>
        <w:top w:val="none" w:sz="0" w:space="0" w:color="auto"/>
        <w:left w:val="none" w:sz="0" w:space="0" w:color="auto"/>
        <w:bottom w:val="none" w:sz="0" w:space="0" w:color="auto"/>
        <w:right w:val="none" w:sz="0" w:space="0" w:color="auto"/>
      </w:divBdr>
    </w:div>
    <w:div w:id="301812609">
      <w:bodyDiv w:val="1"/>
      <w:marLeft w:val="0"/>
      <w:marRight w:val="0"/>
      <w:marTop w:val="0"/>
      <w:marBottom w:val="0"/>
      <w:divBdr>
        <w:top w:val="none" w:sz="0" w:space="0" w:color="auto"/>
        <w:left w:val="none" w:sz="0" w:space="0" w:color="auto"/>
        <w:bottom w:val="none" w:sz="0" w:space="0" w:color="auto"/>
        <w:right w:val="none" w:sz="0" w:space="0" w:color="auto"/>
      </w:divBdr>
    </w:div>
    <w:div w:id="420295946">
      <w:bodyDiv w:val="1"/>
      <w:marLeft w:val="0"/>
      <w:marRight w:val="0"/>
      <w:marTop w:val="0"/>
      <w:marBottom w:val="0"/>
      <w:divBdr>
        <w:top w:val="none" w:sz="0" w:space="0" w:color="auto"/>
        <w:left w:val="none" w:sz="0" w:space="0" w:color="auto"/>
        <w:bottom w:val="none" w:sz="0" w:space="0" w:color="auto"/>
        <w:right w:val="none" w:sz="0" w:space="0" w:color="auto"/>
      </w:divBdr>
    </w:div>
    <w:div w:id="511601708">
      <w:bodyDiv w:val="1"/>
      <w:marLeft w:val="0"/>
      <w:marRight w:val="0"/>
      <w:marTop w:val="0"/>
      <w:marBottom w:val="0"/>
      <w:divBdr>
        <w:top w:val="none" w:sz="0" w:space="0" w:color="auto"/>
        <w:left w:val="none" w:sz="0" w:space="0" w:color="auto"/>
        <w:bottom w:val="none" w:sz="0" w:space="0" w:color="auto"/>
        <w:right w:val="none" w:sz="0" w:space="0" w:color="auto"/>
      </w:divBdr>
    </w:div>
    <w:div w:id="528879792">
      <w:bodyDiv w:val="1"/>
      <w:marLeft w:val="0"/>
      <w:marRight w:val="0"/>
      <w:marTop w:val="0"/>
      <w:marBottom w:val="0"/>
      <w:divBdr>
        <w:top w:val="none" w:sz="0" w:space="0" w:color="auto"/>
        <w:left w:val="none" w:sz="0" w:space="0" w:color="auto"/>
        <w:bottom w:val="none" w:sz="0" w:space="0" w:color="auto"/>
        <w:right w:val="none" w:sz="0" w:space="0" w:color="auto"/>
      </w:divBdr>
    </w:div>
    <w:div w:id="540752493">
      <w:bodyDiv w:val="1"/>
      <w:marLeft w:val="0"/>
      <w:marRight w:val="0"/>
      <w:marTop w:val="0"/>
      <w:marBottom w:val="0"/>
      <w:divBdr>
        <w:top w:val="none" w:sz="0" w:space="0" w:color="auto"/>
        <w:left w:val="none" w:sz="0" w:space="0" w:color="auto"/>
        <w:bottom w:val="none" w:sz="0" w:space="0" w:color="auto"/>
        <w:right w:val="none" w:sz="0" w:space="0" w:color="auto"/>
      </w:divBdr>
    </w:div>
    <w:div w:id="915744650">
      <w:bodyDiv w:val="1"/>
      <w:marLeft w:val="0"/>
      <w:marRight w:val="0"/>
      <w:marTop w:val="0"/>
      <w:marBottom w:val="0"/>
      <w:divBdr>
        <w:top w:val="none" w:sz="0" w:space="0" w:color="auto"/>
        <w:left w:val="none" w:sz="0" w:space="0" w:color="auto"/>
        <w:bottom w:val="none" w:sz="0" w:space="0" w:color="auto"/>
        <w:right w:val="none" w:sz="0" w:space="0" w:color="auto"/>
      </w:divBdr>
    </w:div>
    <w:div w:id="919020078">
      <w:bodyDiv w:val="1"/>
      <w:marLeft w:val="0"/>
      <w:marRight w:val="0"/>
      <w:marTop w:val="0"/>
      <w:marBottom w:val="0"/>
      <w:divBdr>
        <w:top w:val="none" w:sz="0" w:space="0" w:color="auto"/>
        <w:left w:val="none" w:sz="0" w:space="0" w:color="auto"/>
        <w:bottom w:val="none" w:sz="0" w:space="0" w:color="auto"/>
        <w:right w:val="none" w:sz="0" w:space="0" w:color="auto"/>
      </w:divBdr>
    </w:div>
    <w:div w:id="983854772">
      <w:bodyDiv w:val="1"/>
      <w:marLeft w:val="0"/>
      <w:marRight w:val="0"/>
      <w:marTop w:val="0"/>
      <w:marBottom w:val="0"/>
      <w:divBdr>
        <w:top w:val="none" w:sz="0" w:space="0" w:color="auto"/>
        <w:left w:val="none" w:sz="0" w:space="0" w:color="auto"/>
        <w:bottom w:val="none" w:sz="0" w:space="0" w:color="auto"/>
        <w:right w:val="none" w:sz="0" w:space="0" w:color="auto"/>
      </w:divBdr>
    </w:div>
    <w:div w:id="1073813708">
      <w:bodyDiv w:val="1"/>
      <w:marLeft w:val="0"/>
      <w:marRight w:val="0"/>
      <w:marTop w:val="0"/>
      <w:marBottom w:val="0"/>
      <w:divBdr>
        <w:top w:val="none" w:sz="0" w:space="0" w:color="auto"/>
        <w:left w:val="none" w:sz="0" w:space="0" w:color="auto"/>
        <w:bottom w:val="none" w:sz="0" w:space="0" w:color="auto"/>
        <w:right w:val="none" w:sz="0" w:space="0" w:color="auto"/>
      </w:divBdr>
    </w:div>
    <w:div w:id="1081635232">
      <w:bodyDiv w:val="1"/>
      <w:marLeft w:val="0"/>
      <w:marRight w:val="0"/>
      <w:marTop w:val="0"/>
      <w:marBottom w:val="0"/>
      <w:divBdr>
        <w:top w:val="none" w:sz="0" w:space="0" w:color="auto"/>
        <w:left w:val="none" w:sz="0" w:space="0" w:color="auto"/>
        <w:bottom w:val="none" w:sz="0" w:space="0" w:color="auto"/>
        <w:right w:val="none" w:sz="0" w:space="0" w:color="auto"/>
      </w:divBdr>
    </w:div>
    <w:div w:id="1084843145">
      <w:bodyDiv w:val="1"/>
      <w:marLeft w:val="0"/>
      <w:marRight w:val="0"/>
      <w:marTop w:val="0"/>
      <w:marBottom w:val="0"/>
      <w:divBdr>
        <w:top w:val="none" w:sz="0" w:space="0" w:color="auto"/>
        <w:left w:val="none" w:sz="0" w:space="0" w:color="auto"/>
        <w:bottom w:val="none" w:sz="0" w:space="0" w:color="auto"/>
        <w:right w:val="none" w:sz="0" w:space="0" w:color="auto"/>
      </w:divBdr>
    </w:div>
    <w:div w:id="1217159885">
      <w:bodyDiv w:val="1"/>
      <w:marLeft w:val="0"/>
      <w:marRight w:val="0"/>
      <w:marTop w:val="0"/>
      <w:marBottom w:val="0"/>
      <w:divBdr>
        <w:top w:val="none" w:sz="0" w:space="0" w:color="auto"/>
        <w:left w:val="none" w:sz="0" w:space="0" w:color="auto"/>
        <w:bottom w:val="none" w:sz="0" w:space="0" w:color="auto"/>
        <w:right w:val="none" w:sz="0" w:space="0" w:color="auto"/>
      </w:divBdr>
    </w:div>
    <w:div w:id="1295715191">
      <w:bodyDiv w:val="1"/>
      <w:marLeft w:val="0"/>
      <w:marRight w:val="0"/>
      <w:marTop w:val="0"/>
      <w:marBottom w:val="0"/>
      <w:divBdr>
        <w:top w:val="none" w:sz="0" w:space="0" w:color="auto"/>
        <w:left w:val="none" w:sz="0" w:space="0" w:color="auto"/>
        <w:bottom w:val="none" w:sz="0" w:space="0" w:color="auto"/>
        <w:right w:val="none" w:sz="0" w:space="0" w:color="auto"/>
      </w:divBdr>
    </w:div>
    <w:div w:id="1669403671">
      <w:bodyDiv w:val="1"/>
      <w:marLeft w:val="0"/>
      <w:marRight w:val="0"/>
      <w:marTop w:val="0"/>
      <w:marBottom w:val="0"/>
      <w:divBdr>
        <w:top w:val="none" w:sz="0" w:space="0" w:color="auto"/>
        <w:left w:val="none" w:sz="0" w:space="0" w:color="auto"/>
        <w:bottom w:val="none" w:sz="0" w:space="0" w:color="auto"/>
        <w:right w:val="none" w:sz="0" w:space="0" w:color="auto"/>
      </w:divBdr>
    </w:div>
    <w:div w:id="1694066976">
      <w:bodyDiv w:val="1"/>
      <w:marLeft w:val="0"/>
      <w:marRight w:val="0"/>
      <w:marTop w:val="0"/>
      <w:marBottom w:val="0"/>
      <w:divBdr>
        <w:top w:val="none" w:sz="0" w:space="0" w:color="auto"/>
        <w:left w:val="none" w:sz="0" w:space="0" w:color="auto"/>
        <w:bottom w:val="none" w:sz="0" w:space="0" w:color="auto"/>
        <w:right w:val="none" w:sz="0" w:space="0" w:color="auto"/>
      </w:divBdr>
    </w:div>
    <w:div w:id="1698041345">
      <w:bodyDiv w:val="1"/>
      <w:marLeft w:val="0"/>
      <w:marRight w:val="0"/>
      <w:marTop w:val="0"/>
      <w:marBottom w:val="0"/>
      <w:divBdr>
        <w:top w:val="none" w:sz="0" w:space="0" w:color="auto"/>
        <w:left w:val="none" w:sz="0" w:space="0" w:color="auto"/>
        <w:bottom w:val="none" w:sz="0" w:space="0" w:color="auto"/>
        <w:right w:val="none" w:sz="0" w:space="0" w:color="auto"/>
      </w:divBdr>
    </w:div>
    <w:div w:id="1767917129">
      <w:bodyDiv w:val="1"/>
      <w:marLeft w:val="0"/>
      <w:marRight w:val="0"/>
      <w:marTop w:val="0"/>
      <w:marBottom w:val="0"/>
      <w:divBdr>
        <w:top w:val="none" w:sz="0" w:space="0" w:color="auto"/>
        <w:left w:val="none" w:sz="0" w:space="0" w:color="auto"/>
        <w:bottom w:val="none" w:sz="0" w:space="0" w:color="auto"/>
        <w:right w:val="none" w:sz="0" w:space="0" w:color="auto"/>
      </w:divBdr>
    </w:div>
    <w:div w:id="195012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039B8-ED7A-4609-8D44-67BA8B67F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3824</Words>
  <Characters>21797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 Doell</cp:lastModifiedBy>
  <cp:revision>8</cp:revision>
  <dcterms:created xsi:type="dcterms:W3CDTF">2019-09-11T17:06:00Z</dcterms:created>
  <dcterms:modified xsi:type="dcterms:W3CDTF">2019-10-29T18:22:00Z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c9504d8c-132d-3c5e-a26d-ce60e6696423</vt:lpwstr>
  </property>
  <property fmtid="{D5CDD505-2E9C-101B-9397-08002B2CF9AE}" pid="4" name="Mendeley Citation Style_1">
    <vt:lpwstr>http://csl.mendeley.com/styles/5770861/biological-psychiatry-Doell</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http://csl.mendeley.com/styles/5770861/biological-psychiatry-Doell</vt:lpwstr>
  </property>
  <property fmtid="{D5CDD505-2E9C-101B-9397-08002B2CF9AE}" pid="10" name="Mendeley Recent Style Name 2_1">
    <vt:lpwstr>Biological Psychiatry - Doell Version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(deprecated)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http://www.zotero.org/styles/nature-communications</vt:lpwstr>
  </property>
  <property fmtid="{D5CDD505-2E9C-101B-9397-08002B2CF9AE}" pid="22" name="Mendeley Recent Style Name 8_1">
    <vt:lpwstr>Nature Communications</vt:lpwstr>
  </property>
  <property fmtid="{D5CDD505-2E9C-101B-9397-08002B2CF9AE}" pid="23" name="Mendeley Recent Style Id 9_1">
    <vt:lpwstr>http://www.zotero.org/styles/social-cognitive-and-affective-neuroscience</vt:lpwstr>
  </property>
  <property fmtid="{D5CDD505-2E9C-101B-9397-08002B2CF9AE}" pid="24" name="Mendeley Recent Style Name 9_1">
    <vt:lpwstr>Social Cognitive and Affective Neuroscience</vt:lpwstr>
  </property>
</Properties>
</file>