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7F9ACC" w14:textId="77777777" w:rsidR="009124E6" w:rsidRPr="0098717E" w:rsidRDefault="009124E6" w:rsidP="005C7237">
      <w:pPr>
        <w:rPr>
          <w:rFonts w:ascii="Arial" w:hAnsi="Arial" w:cs="Arial"/>
          <w:b/>
          <w:sz w:val="28"/>
          <w:szCs w:val="28"/>
          <w:lang w:val="en-US"/>
        </w:rPr>
      </w:pPr>
      <w:r w:rsidRPr="0098717E">
        <w:rPr>
          <w:rFonts w:ascii="Arial" w:hAnsi="Arial" w:cs="Arial"/>
          <w:b/>
          <w:sz w:val="28"/>
          <w:szCs w:val="28"/>
          <w:lang w:val="en-US"/>
        </w:rPr>
        <w:t>Method Article</w:t>
      </w:r>
      <w:r w:rsidR="007C26A4" w:rsidRPr="0098717E">
        <w:rPr>
          <w:rFonts w:ascii="Arial" w:hAnsi="Arial" w:cs="Arial"/>
          <w:b/>
          <w:sz w:val="28"/>
          <w:szCs w:val="28"/>
          <w:lang w:val="en-US"/>
        </w:rPr>
        <w:t xml:space="preserve"> – Title </w:t>
      </w:r>
      <w:r w:rsidR="00980B29" w:rsidRPr="0098717E">
        <w:rPr>
          <w:rFonts w:ascii="Arial" w:hAnsi="Arial" w:cs="Arial"/>
          <w:b/>
          <w:sz w:val="28"/>
          <w:szCs w:val="28"/>
          <w:lang w:val="en-US"/>
        </w:rPr>
        <w:t>P</w:t>
      </w:r>
      <w:r w:rsidR="007C26A4" w:rsidRPr="0098717E">
        <w:rPr>
          <w:rFonts w:ascii="Arial" w:hAnsi="Arial" w:cs="Arial"/>
          <w:b/>
          <w:sz w:val="28"/>
          <w:szCs w:val="28"/>
          <w:lang w:val="en-US"/>
        </w:rPr>
        <w:t>age</w:t>
      </w:r>
    </w:p>
    <w:p w14:paraId="09624347" w14:textId="77777777" w:rsidR="009124E6" w:rsidRPr="0098717E" w:rsidRDefault="009124E6" w:rsidP="005C7237">
      <w:pPr>
        <w:rPr>
          <w:rFonts w:ascii="Arial" w:hAnsi="Arial" w:cs="Arial"/>
          <w:b/>
          <w:sz w:val="18"/>
          <w:szCs w:val="18"/>
          <w:lang w:val="en-US"/>
        </w:rPr>
      </w:pPr>
    </w:p>
    <w:tbl>
      <w:tblPr>
        <w:tblStyle w:val="TableGrid"/>
        <w:tblW w:w="0" w:type="auto"/>
        <w:tblLook w:val="04A0" w:firstRow="1" w:lastRow="0" w:firstColumn="1" w:lastColumn="0" w:noHBand="0" w:noVBand="1"/>
      </w:tblPr>
      <w:tblGrid>
        <w:gridCol w:w="3681"/>
        <w:gridCol w:w="6520"/>
      </w:tblGrid>
      <w:tr w:rsidR="00980B29" w:rsidRPr="0006318C" w14:paraId="1BA8612A" w14:textId="77777777" w:rsidTr="00E51EA2">
        <w:trPr>
          <w:trHeight w:val="510"/>
        </w:trPr>
        <w:tc>
          <w:tcPr>
            <w:tcW w:w="3681" w:type="dxa"/>
            <w:vAlign w:val="center"/>
          </w:tcPr>
          <w:p w14:paraId="19BBB2FE" w14:textId="77777777" w:rsidR="00980B29" w:rsidRPr="0098717E" w:rsidRDefault="00980B29" w:rsidP="00E51EA2">
            <w:pPr>
              <w:rPr>
                <w:rFonts w:ascii="Arial" w:hAnsi="Arial" w:cs="Arial"/>
                <w:b/>
                <w:i/>
                <w:sz w:val="18"/>
                <w:szCs w:val="18"/>
                <w:lang w:val="en-US"/>
              </w:rPr>
            </w:pPr>
            <w:r w:rsidRPr="0098717E">
              <w:rPr>
                <w:rFonts w:ascii="Arial" w:hAnsi="Arial" w:cs="Arial"/>
                <w:b/>
                <w:sz w:val="18"/>
                <w:szCs w:val="18"/>
                <w:lang w:val="en-US"/>
              </w:rPr>
              <w:t>Title</w:t>
            </w:r>
          </w:p>
        </w:tc>
        <w:tc>
          <w:tcPr>
            <w:tcW w:w="6520" w:type="dxa"/>
            <w:vAlign w:val="center"/>
          </w:tcPr>
          <w:p w14:paraId="50CE7697" w14:textId="795666BA" w:rsidR="00980B29" w:rsidRPr="0098717E" w:rsidRDefault="004D2168" w:rsidP="00E51EA2">
            <w:pPr>
              <w:rPr>
                <w:rFonts w:ascii="Arial" w:hAnsi="Arial" w:cs="Arial"/>
                <w:i/>
                <w:sz w:val="18"/>
                <w:szCs w:val="18"/>
                <w:lang w:val="en-US"/>
              </w:rPr>
            </w:pPr>
            <w:bookmarkStart w:id="0" w:name="_Hlk26524285"/>
            <w:r w:rsidRPr="0098717E">
              <w:rPr>
                <w:rFonts w:ascii="Arial" w:hAnsi="Arial" w:cs="Arial"/>
                <w:i/>
                <w:sz w:val="18"/>
                <w:szCs w:val="18"/>
                <w:lang w:val="en-US"/>
              </w:rPr>
              <w:t xml:space="preserve">Calculating Medication Load for </w:t>
            </w:r>
            <w:r w:rsidR="00630EFE" w:rsidRPr="0098717E">
              <w:rPr>
                <w:rFonts w:ascii="Arial" w:hAnsi="Arial" w:cs="Arial"/>
                <w:i/>
                <w:sz w:val="18"/>
                <w:szCs w:val="18"/>
                <w:lang w:val="en-US"/>
              </w:rPr>
              <w:t xml:space="preserve">Patient </w:t>
            </w:r>
            <w:r w:rsidRPr="0098717E">
              <w:rPr>
                <w:rFonts w:ascii="Arial" w:hAnsi="Arial" w:cs="Arial"/>
                <w:i/>
                <w:sz w:val="18"/>
                <w:szCs w:val="18"/>
                <w:lang w:val="en-US"/>
              </w:rPr>
              <w:t>Analyses</w:t>
            </w:r>
            <w:r w:rsidR="0006318C">
              <w:rPr>
                <w:rFonts w:ascii="Arial" w:hAnsi="Arial" w:cs="Arial"/>
                <w:i/>
                <w:sz w:val="18"/>
                <w:szCs w:val="18"/>
                <w:lang w:val="en-US"/>
              </w:rPr>
              <w:t xml:space="preserve"> in Neuroimaging</w:t>
            </w:r>
            <w:bookmarkEnd w:id="0"/>
          </w:p>
        </w:tc>
      </w:tr>
      <w:tr w:rsidR="00980B29" w:rsidRPr="0006318C" w14:paraId="4D276DFD" w14:textId="77777777" w:rsidTr="00E51EA2">
        <w:trPr>
          <w:trHeight w:val="510"/>
        </w:trPr>
        <w:tc>
          <w:tcPr>
            <w:tcW w:w="3681" w:type="dxa"/>
            <w:vAlign w:val="center"/>
          </w:tcPr>
          <w:p w14:paraId="25A447B9" w14:textId="77777777" w:rsidR="00980B29" w:rsidRPr="0098717E" w:rsidRDefault="00980B29" w:rsidP="00E51EA2">
            <w:pPr>
              <w:rPr>
                <w:rFonts w:ascii="Arial" w:hAnsi="Arial" w:cs="Arial"/>
                <w:b/>
                <w:sz w:val="18"/>
                <w:szCs w:val="18"/>
                <w:lang w:val="en-US"/>
              </w:rPr>
            </w:pPr>
            <w:r w:rsidRPr="0098717E">
              <w:rPr>
                <w:rFonts w:ascii="Arial" w:hAnsi="Arial" w:cs="Arial"/>
                <w:b/>
                <w:sz w:val="18"/>
                <w:szCs w:val="18"/>
                <w:lang w:val="en-US"/>
              </w:rPr>
              <w:t>Authors</w:t>
            </w:r>
          </w:p>
        </w:tc>
        <w:tc>
          <w:tcPr>
            <w:tcW w:w="6520" w:type="dxa"/>
            <w:vAlign w:val="center"/>
          </w:tcPr>
          <w:p w14:paraId="2A605847" w14:textId="77777777" w:rsidR="00980B29" w:rsidRPr="0098717E" w:rsidRDefault="004D2168" w:rsidP="004C76FB">
            <w:pPr>
              <w:jc w:val="both"/>
              <w:rPr>
                <w:rFonts w:cstheme="minorHAnsi"/>
                <w:vertAlign w:val="superscript"/>
                <w:lang w:val="en-US"/>
              </w:rPr>
            </w:pPr>
            <w:bookmarkStart w:id="1" w:name="_Hlk9929782"/>
            <w:r w:rsidRPr="0098717E">
              <w:rPr>
                <w:rFonts w:cstheme="minorHAnsi"/>
                <w:color w:val="000000"/>
                <w:lang w:val="en-US"/>
              </w:rPr>
              <w:t xml:space="preserve">Kimberly C. </w:t>
            </w:r>
            <w:proofErr w:type="spellStart"/>
            <w:proofErr w:type="gramStart"/>
            <w:r w:rsidRPr="0098717E">
              <w:rPr>
                <w:rFonts w:cstheme="minorHAnsi"/>
                <w:color w:val="000000"/>
                <w:lang w:val="en-US"/>
              </w:rPr>
              <w:t>Doell</w:t>
            </w:r>
            <w:r w:rsidRPr="0098717E">
              <w:rPr>
                <w:rFonts w:cstheme="minorHAnsi"/>
                <w:color w:val="000000"/>
                <w:vertAlign w:val="superscript"/>
                <w:lang w:val="en-US"/>
              </w:rPr>
              <w:t>a,b</w:t>
            </w:r>
            <w:proofErr w:type="gramEnd"/>
            <w:r w:rsidRPr="0098717E">
              <w:rPr>
                <w:rFonts w:cstheme="minorHAnsi"/>
                <w:color w:val="000000"/>
                <w:vertAlign w:val="superscript"/>
                <w:lang w:val="en-US"/>
              </w:rPr>
              <w:t>,c,d</w:t>
            </w:r>
            <w:proofErr w:type="spellEnd"/>
            <w:r w:rsidRPr="0098717E">
              <w:rPr>
                <w:rFonts w:cstheme="minorHAnsi"/>
                <w:color w:val="000000"/>
                <w:vertAlign w:val="superscript"/>
                <w:lang w:val="en-US"/>
              </w:rPr>
              <w:t xml:space="preserve"> </w:t>
            </w:r>
            <w:r w:rsidRPr="0098717E">
              <w:rPr>
                <w:rFonts w:cstheme="minorHAnsi"/>
                <w:color w:val="000000"/>
                <w:lang w:val="en-US"/>
              </w:rPr>
              <w:t xml:space="preserve">*, Emilie </w:t>
            </w:r>
            <w:proofErr w:type="spellStart"/>
            <w:r w:rsidRPr="0098717E">
              <w:rPr>
                <w:rFonts w:cstheme="minorHAnsi"/>
                <w:color w:val="000000"/>
                <w:lang w:val="en-US"/>
              </w:rPr>
              <w:t>Olié</w:t>
            </w:r>
            <w:r w:rsidRPr="0098717E">
              <w:rPr>
                <w:rFonts w:cstheme="minorHAnsi"/>
                <w:color w:val="000000"/>
                <w:vertAlign w:val="superscript"/>
                <w:lang w:val="en-US"/>
              </w:rPr>
              <w:t>e</w:t>
            </w:r>
            <w:proofErr w:type="spellEnd"/>
            <w:r w:rsidRPr="0098717E">
              <w:rPr>
                <w:rFonts w:cstheme="minorHAnsi"/>
                <w:color w:val="000000"/>
                <w:lang w:val="en-US"/>
              </w:rPr>
              <w:t xml:space="preserve">, Philippe </w:t>
            </w:r>
            <w:proofErr w:type="spellStart"/>
            <w:r w:rsidRPr="0098717E">
              <w:rPr>
                <w:rFonts w:cstheme="minorHAnsi"/>
                <w:color w:val="000000"/>
                <w:lang w:val="en-US"/>
              </w:rPr>
              <w:t>Courtet</w:t>
            </w:r>
            <w:r w:rsidRPr="0098717E">
              <w:rPr>
                <w:rFonts w:cstheme="minorHAnsi"/>
                <w:color w:val="000000"/>
                <w:vertAlign w:val="superscript"/>
                <w:lang w:val="en-US"/>
              </w:rPr>
              <w:t>e</w:t>
            </w:r>
            <w:proofErr w:type="spellEnd"/>
            <w:r w:rsidRPr="0098717E">
              <w:rPr>
                <w:rFonts w:cstheme="minorHAnsi"/>
                <w:color w:val="000000"/>
                <w:lang w:val="en-US"/>
              </w:rPr>
              <w:t xml:space="preserve">, </w:t>
            </w:r>
            <w:r w:rsidRPr="0098717E">
              <w:rPr>
                <w:rFonts w:cs="Calibri"/>
                <w:color w:val="000000"/>
                <w:lang w:val="en-US"/>
              </w:rPr>
              <w:t>Corrado Corradi-</w:t>
            </w:r>
            <w:proofErr w:type="spellStart"/>
            <w:r w:rsidRPr="0098717E">
              <w:rPr>
                <w:rFonts w:cs="Calibri"/>
                <w:color w:val="000000"/>
                <w:lang w:val="en-US"/>
              </w:rPr>
              <w:t>Dell’Acqua</w:t>
            </w:r>
            <w:r w:rsidRPr="0098717E">
              <w:rPr>
                <w:rFonts w:cs="Calibri"/>
                <w:color w:val="000000"/>
                <w:vertAlign w:val="superscript"/>
                <w:lang w:val="en-US"/>
              </w:rPr>
              <w:t>c,d</w:t>
            </w:r>
            <w:proofErr w:type="spellEnd"/>
            <w:r w:rsidRPr="0098717E">
              <w:rPr>
                <w:rFonts w:cs="Calibri"/>
                <w:color w:val="000000"/>
                <w:lang w:val="en-US"/>
              </w:rPr>
              <w:t xml:space="preserve"> , </w:t>
            </w:r>
            <w:r w:rsidRPr="0098717E">
              <w:rPr>
                <w:rFonts w:cstheme="minorHAnsi"/>
                <w:lang w:val="en-US"/>
              </w:rPr>
              <w:t xml:space="preserve">Nader </w:t>
            </w:r>
            <w:proofErr w:type="spellStart"/>
            <w:r w:rsidRPr="0098717E">
              <w:rPr>
                <w:rFonts w:cstheme="minorHAnsi"/>
                <w:lang w:val="en-US"/>
              </w:rPr>
              <w:t>Perroud</w:t>
            </w:r>
            <w:r w:rsidRPr="0098717E">
              <w:rPr>
                <w:rFonts w:cstheme="minorHAnsi"/>
                <w:vertAlign w:val="superscript"/>
                <w:lang w:val="en-US"/>
              </w:rPr>
              <w:t>f,g</w:t>
            </w:r>
            <w:proofErr w:type="spellEnd"/>
            <w:r w:rsidRPr="0098717E">
              <w:rPr>
                <w:rFonts w:cstheme="minorHAnsi"/>
                <w:lang w:val="en-US"/>
              </w:rPr>
              <w:t xml:space="preserve">, Sophie </w:t>
            </w:r>
            <w:proofErr w:type="spellStart"/>
            <w:r w:rsidRPr="0098717E">
              <w:rPr>
                <w:rFonts w:cstheme="minorHAnsi"/>
                <w:lang w:val="en-US"/>
              </w:rPr>
              <w:t>Schwartz</w:t>
            </w:r>
            <w:r w:rsidRPr="0098717E">
              <w:rPr>
                <w:rFonts w:cstheme="minorHAnsi"/>
                <w:vertAlign w:val="superscript"/>
                <w:lang w:val="en-US"/>
              </w:rPr>
              <w:t>a,b,c</w:t>
            </w:r>
            <w:bookmarkEnd w:id="1"/>
            <w:proofErr w:type="spellEnd"/>
          </w:p>
        </w:tc>
      </w:tr>
      <w:tr w:rsidR="00980B29" w:rsidRPr="0006318C" w14:paraId="378BF078" w14:textId="77777777" w:rsidTr="00E51EA2">
        <w:trPr>
          <w:trHeight w:val="510"/>
        </w:trPr>
        <w:tc>
          <w:tcPr>
            <w:tcW w:w="3681" w:type="dxa"/>
            <w:vAlign w:val="center"/>
          </w:tcPr>
          <w:p w14:paraId="7CB366B6" w14:textId="77777777" w:rsidR="00980B29" w:rsidRPr="0098717E" w:rsidRDefault="00980B29" w:rsidP="00E51EA2">
            <w:pPr>
              <w:rPr>
                <w:rFonts w:ascii="Arial" w:hAnsi="Arial" w:cs="Arial"/>
                <w:b/>
                <w:sz w:val="18"/>
                <w:szCs w:val="18"/>
                <w:lang w:val="en-US"/>
              </w:rPr>
            </w:pPr>
            <w:r w:rsidRPr="0098717E">
              <w:rPr>
                <w:rFonts w:ascii="Arial" w:hAnsi="Arial" w:cs="Arial"/>
                <w:b/>
                <w:sz w:val="18"/>
                <w:szCs w:val="18"/>
                <w:lang w:val="en-US"/>
              </w:rPr>
              <w:t>Affiliations</w:t>
            </w:r>
          </w:p>
        </w:tc>
        <w:tc>
          <w:tcPr>
            <w:tcW w:w="6520" w:type="dxa"/>
            <w:vAlign w:val="center"/>
          </w:tcPr>
          <w:p w14:paraId="0978523A" w14:textId="77777777" w:rsidR="004D2168" w:rsidRPr="0098717E" w:rsidRDefault="004D2168" w:rsidP="004C76FB">
            <w:pPr>
              <w:numPr>
                <w:ilvl w:val="0"/>
                <w:numId w:val="12"/>
              </w:numPr>
              <w:rPr>
                <w:rFonts w:cstheme="minorHAnsi"/>
                <w:color w:val="000000"/>
                <w:lang w:val="en-US"/>
              </w:rPr>
            </w:pPr>
            <w:bookmarkStart w:id="2" w:name="_Hlk9929801"/>
            <w:r w:rsidRPr="0098717E">
              <w:rPr>
                <w:rFonts w:cstheme="minorHAnsi"/>
                <w:color w:val="000000"/>
                <w:lang w:val="en-US"/>
              </w:rPr>
              <w:t>Department of Neuroscience, University of Geneva, Geneva, Switzerland</w:t>
            </w:r>
          </w:p>
          <w:p w14:paraId="67F72328" w14:textId="77777777" w:rsidR="004D2168" w:rsidRPr="0098717E" w:rsidRDefault="004D2168" w:rsidP="004C76FB">
            <w:pPr>
              <w:numPr>
                <w:ilvl w:val="0"/>
                <w:numId w:val="12"/>
              </w:numPr>
              <w:rPr>
                <w:rFonts w:cstheme="minorHAnsi"/>
                <w:color w:val="000000"/>
                <w:lang w:val="en-US"/>
              </w:rPr>
            </w:pPr>
            <w:r w:rsidRPr="0098717E">
              <w:rPr>
                <w:rFonts w:cstheme="minorHAnsi"/>
                <w:color w:val="000000"/>
                <w:lang w:val="en-US"/>
              </w:rPr>
              <w:t>Swiss Center for Affective Sciences, University of Geneva, Geneva, Switzerland</w:t>
            </w:r>
          </w:p>
          <w:p w14:paraId="0F0C9631" w14:textId="77777777" w:rsidR="004D2168" w:rsidRPr="0098717E" w:rsidRDefault="004D2168" w:rsidP="004C76FB">
            <w:pPr>
              <w:numPr>
                <w:ilvl w:val="0"/>
                <w:numId w:val="12"/>
              </w:numPr>
              <w:rPr>
                <w:rFonts w:cstheme="minorHAnsi"/>
                <w:color w:val="000000"/>
                <w:lang w:val="en-US"/>
              </w:rPr>
            </w:pPr>
            <w:r w:rsidRPr="0098717E">
              <w:rPr>
                <w:rFonts w:cstheme="minorHAnsi"/>
                <w:color w:val="000000"/>
                <w:lang w:val="en-US"/>
              </w:rPr>
              <w:t>Geneva Neuroscience Center, University of Geneva, Geneva, Switzerland</w:t>
            </w:r>
            <w:r w:rsidRPr="0098717E" w:rsidDel="001D04BA">
              <w:rPr>
                <w:rFonts w:cstheme="minorHAnsi"/>
                <w:color w:val="000000"/>
                <w:lang w:val="en-US"/>
              </w:rPr>
              <w:t xml:space="preserve"> </w:t>
            </w:r>
          </w:p>
          <w:p w14:paraId="70EA956A" w14:textId="77777777" w:rsidR="004D2168" w:rsidRPr="0098717E" w:rsidRDefault="004D2168" w:rsidP="004C76FB">
            <w:pPr>
              <w:numPr>
                <w:ilvl w:val="0"/>
                <w:numId w:val="12"/>
              </w:numPr>
              <w:rPr>
                <w:rFonts w:cstheme="minorHAnsi"/>
                <w:color w:val="000000"/>
                <w:lang w:val="en-US"/>
              </w:rPr>
            </w:pPr>
            <w:r w:rsidRPr="0098717E">
              <w:rPr>
                <w:rFonts w:cstheme="minorHAnsi"/>
                <w:color w:val="000000"/>
                <w:lang w:val="en-US"/>
              </w:rPr>
              <w:t>Department of Psychology, FPSE, University of Geneva, Geneva, Switzerland</w:t>
            </w:r>
          </w:p>
          <w:p w14:paraId="7272E583" w14:textId="77777777" w:rsidR="004D2168" w:rsidRPr="0098717E" w:rsidRDefault="004D2168" w:rsidP="004C76FB">
            <w:pPr>
              <w:numPr>
                <w:ilvl w:val="0"/>
                <w:numId w:val="12"/>
              </w:numPr>
              <w:rPr>
                <w:rFonts w:cstheme="minorHAnsi"/>
                <w:color w:val="000000"/>
                <w:lang w:val="en-US"/>
              </w:rPr>
            </w:pPr>
            <w:r w:rsidRPr="0098717E">
              <w:rPr>
                <w:rFonts w:cstheme="minorHAnsi"/>
                <w:color w:val="000000"/>
                <w:lang w:val="en-US"/>
              </w:rPr>
              <w:t xml:space="preserve">Department of Psychiatric Emergency &amp; Acute Care, </w:t>
            </w:r>
            <w:proofErr w:type="spellStart"/>
            <w:r w:rsidRPr="0098717E">
              <w:rPr>
                <w:rFonts w:cstheme="minorHAnsi"/>
                <w:color w:val="000000"/>
                <w:lang w:val="en-US"/>
              </w:rPr>
              <w:t>Lapeyronie</w:t>
            </w:r>
            <w:proofErr w:type="spellEnd"/>
            <w:r w:rsidRPr="0098717E">
              <w:rPr>
                <w:rFonts w:cstheme="minorHAnsi"/>
                <w:color w:val="000000"/>
                <w:lang w:val="en-US"/>
              </w:rPr>
              <w:t xml:space="preserve"> Hospital, CHU Montpellier - </w:t>
            </w:r>
            <w:proofErr w:type="spellStart"/>
            <w:r w:rsidRPr="0098717E">
              <w:rPr>
                <w:rFonts w:cstheme="minorHAnsi"/>
                <w:color w:val="000000"/>
                <w:lang w:val="en-US"/>
              </w:rPr>
              <w:t>Inserm</w:t>
            </w:r>
            <w:proofErr w:type="spellEnd"/>
            <w:r w:rsidRPr="0098717E">
              <w:rPr>
                <w:rFonts w:cstheme="minorHAnsi"/>
                <w:color w:val="000000"/>
                <w:lang w:val="en-US"/>
              </w:rPr>
              <w:t xml:space="preserve"> U1061 - University of Montpellier, Montpellier, France</w:t>
            </w:r>
          </w:p>
          <w:p w14:paraId="3CDBC2E8" w14:textId="77777777" w:rsidR="004D2168" w:rsidRPr="0098717E" w:rsidRDefault="004D2168" w:rsidP="004C76FB">
            <w:pPr>
              <w:numPr>
                <w:ilvl w:val="0"/>
                <w:numId w:val="12"/>
              </w:numPr>
              <w:rPr>
                <w:rFonts w:cstheme="minorHAnsi"/>
                <w:color w:val="000000"/>
                <w:lang w:val="en-US"/>
              </w:rPr>
            </w:pPr>
            <w:r w:rsidRPr="0098717E">
              <w:rPr>
                <w:rFonts w:cstheme="minorHAnsi"/>
                <w:color w:val="000000"/>
                <w:lang w:val="en-US"/>
              </w:rPr>
              <w:t>Department of Mental Health and Psychiatry, University Hospitals of Geneva, Geneva, Switzerland</w:t>
            </w:r>
          </w:p>
          <w:p w14:paraId="55D122E9" w14:textId="77777777" w:rsidR="004D2168" w:rsidRPr="0098717E" w:rsidRDefault="004D2168" w:rsidP="004C76FB">
            <w:pPr>
              <w:numPr>
                <w:ilvl w:val="0"/>
                <w:numId w:val="12"/>
              </w:numPr>
              <w:jc w:val="both"/>
              <w:rPr>
                <w:rFonts w:cstheme="minorHAnsi"/>
                <w:color w:val="000000"/>
                <w:lang w:val="en-US"/>
              </w:rPr>
            </w:pPr>
            <w:r w:rsidRPr="0098717E">
              <w:rPr>
                <w:rFonts w:cstheme="minorHAnsi"/>
                <w:color w:val="000000"/>
                <w:lang w:val="en-US"/>
              </w:rPr>
              <w:t xml:space="preserve">Department of Psychiatry, University of Geneva, Geneva, Switzerland </w:t>
            </w:r>
          </w:p>
          <w:bookmarkEnd w:id="2"/>
          <w:p w14:paraId="53351C4F" w14:textId="77777777" w:rsidR="00980B29" w:rsidRPr="0098717E" w:rsidRDefault="00980B29" w:rsidP="004C76FB">
            <w:pPr>
              <w:rPr>
                <w:rFonts w:ascii="Arial" w:hAnsi="Arial" w:cs="Arial"/>
                <w:i/>
                <w:sz w:val="18"/>
                <w:szCs w:val="18"/>
                <w:lang w:val="en-US"/>
              </w:rPr>
            </w:pPr>
          </w:p>
        </w:tc>
      </w:tr>
      <w:tr w:rsidR="00980B29" w:rsidRPr="0098717E" w14:paraId="5B3DB03B" w14:textId="77777777" w:rsidTr="00E51EA2">
        <w:trPr>
          <w:trHeight w:val="510"/>
        </w:trPr>
        <w:tc>
          <w:tcPr>
            <w:tcW w:w="3681" w:type="dxa"/>
            <w:vAlign w:val="center"/>
          </w:tcPr>
          <w:p w14:paraId="0E950968" w14:textId="77777777" w:rsidR="00980B29" w:rsidRPr="0098717E" w:rsidRDefault="00980B29" w:rsidP="00E51EA2">
            <w:pPr>
              <w:rPr>
                <w:rFonts w:ascii="Arial" w:hAnsi="Arial" w:cs="Arial"/>
                <w:b/>
                <w:sz w:val="18"/>
                <w:szCs w:val="18"/>
                <w:lang w:val="en-US"/>
              </w:rPr>
            </w:pPr>
            <w:r w:rsidRPr="0098717E">
              <w:rPr>
                <w:rFonts w:ascii="Arial" w:hAnsi="Arial" w:cs="Arial"/>
                <w:b/>
                <w:sz w:val="18"/>
                <w:szCs w:val="18"/>
                <w:lang w:val="en-US"/>
              </w:rPr>
              <w:t>Corresponding Author’s email address</w:t>
            </w:r>
          </w:p>
        </w:tc>
        <w:tc>
          <w:tcPr>
            <w:tcW w:w="6520" w:type="dxa"/>
            <w:vAlign w:val="center"/>
          </w:tcPr>
          <w:p w14:paraId="06969E25" w14:textId="77777777" w:rsidR="00980B29" w:rsidRPr="0098717E" w:rsidRDefault="004D2168" w:rsidP="00E51EA2">
            <w:pPr>
              <w:rPr>
                <w:rFonts w:ascii="Arial" w:hAnsi="Arial" w:cs="Arial"/>
                <w:i/>
                <w:sz w:val="18"/>
                <w:szCs w:val="18"/>
                <w:lang w:val="en-US"/>
              </w:rPr>
            </w:pPr>
            <w:r w:rsidRPr="0098717E">
              <w:rPr>
                <w:rFonts w:ascii="Arial" w:hAnsi="Arial" w:cs="Arial"/>
                <w:i/>
                <w:sz w:val="18"/>
                <w:szCs w:val="18"/>
                <w:lang w:val="en-US"/>
              </w:rPr>
              <w:t>kimberly.doell@unige.ch</w:t>
            </w:r>
          </w:p>
        </w:tc>
      </w:tr>
      <w:tr w:rsidR="00980B29" w:rsidRPr="0098717E" w14:paraId="6EC18845" w14:textId="77777777" w:rsidTr="00E51EA2">
        <w:tc>
          <w:tcPr>
            <w:tcW w:w="3681" w:type="dxa"/>
            <w:vAlign w:val="center"/>
          </w:tcPr>
          <w:p w14:paraId="689EA983" w14:textId="77777777" w:rsidR="00980B29" w:rsidRPr="0098717E" w:rsidRDefault="00980B29" w:rsidP="00E51EA2">
            <w:pPr>
              <w:rPr>
                <w:rFonts w:ascii="Arial" w:hAnsi="Arial" w:cs="Arial"/>
                <w:b/>
                <w:sz w:val="18"/>
                <w:szCs w:val="18"/>
                <w:lang w:val="en-US"/>
              </w:rPr>
            </w:pPr>
            <w:r w:rsidRPr="0098717E">
              <w:rPr>
                <w:rFonts w:ascii="Arial" w:hAnsi="Arial" w:cs="Arial"/>
                <w:b/>
                <w:sz w:val="18"/>
                <w:szCs w:val="18"/>
                <w:lang w:val="en-US"/>
              </w:rPr>
              <w:t>Keywords</w:t>
            </w:r>
          </w:p>
          <w:p w14:paraId="29D9FDE1" w14:textId="77777777" w:rsidR="00980B29" w:rsidRPr="0098717E" w:rsidRDefault="00980B29" w:rsidP="00E51EA2">
            <w:pPr>
              <w:pStyle w:val="ListParagraph"/>
              <w:ind w:left="360"/>
              <w:rPr>
                <w:rFonts w:ascii="Arial" w:hAnsi="Arial" w:cs="Arial"/>
                <w:b/>
                <w:sz w:val="18"/>
                <w:szCs w:val="18"/>
              </w:rPr>
            </w:pPr>
          </w:p>
        </w:tc>
        <w:tc>
          <w:tcPr>
            <w:tcW w:w="6520" w:type="dxa"/>
            <w:vAlign w:val="center"/>
          </w:tcPr>
          <w:p w14:paraId="2AED5ACF" w14:textId="77777777" w:rsidR="00980B29" w:rsidRPr="0098717E" w:rsidRDefault="004D2168" w:rsidP="00E51EA2">
            <w:pPr>
              <w:pStyle w:val="ListParagraph"/>
              <w:numPr>
                <w:ilvl w:val="0"/>
                <w:numId w:val="6"/>
              </w:numPr>
              <w:rPr>
                <w:rFonts w:ascii="Arial" w:hAnsi="Arial" w:cs="Arial"/>
                <w:i/>
                <w:sz w:val="18"/>
                <w:szCs w:val="18"/>
              </w:rPr>
            </w:pPr>
            <w:r w:rsidRPr="0098717E">
              <w:rPr>
                <w:rFonts w:ascii="Arial" w:hAnsi="Arial" w:cs="Arial"/>
                <w:i/>
                <w:sz w:val="18"/>
                <w:szCs w:val="18"/>
              </w:rPr>
              <w:t>Medication covariate, fMRI analyses, psychiatric populations</w:t>
            </w:r>
          </w:p>
        </w:tc>
      </w:tr>
      <w:tr w:rsidR="00CE6674" w:rsidRPr="0006318C" w14:paraId="44CF6421" w14:textId="77777777" w:rsidTr="00237ECE">
        <w:trPr>
          <w:trHeight w:val="769"/>
        </w:trPr>
        <w:tc>
          <w:tcPr>
            <w:tcW w:w="3681" w:type="dxa"/>
            <w:vAlign w:val="center"/>
          </w:tcPr>
          <w:p w14:paraId="1195AD70" w14:textId="77777777" w:rsidR="00634708" w:rsidRPr="0098717E" w:rsidRDefault="00CE6674" w:rsidP="00E51EA2">
            <w:pPr>
              <w:rPr>
                <w:rFonts w:ascii="Arial" w:hAnsi="Arial" w:cs="Arial"/>
                <w:i/>
                <w:sz w:val="18"/>
                <w:szCs w:val="18"/>
                <w:lang w:val="en-US"/>
              </w:rPr>
            </w:pPr>
            <w:r w:rsidRPr="0098717E">
              <w:rPr>
                <w:rFonts w:ascii="Arial" w:hAnsi="Arial" w:cs="Arial"/>
                <w:b/>
                <w:sz w:val="18"/>
                <w:szCs w:val="18"/>
                <w:lang w:val="en-US"/>
              </w:rPr>
              <w:t>Direct Submission or Co-Submission</w:t>
            </w:r>
            <w:r w:rsidR="00634708" w:rsidRPr="0098717E">
              <w:rPr>
                <w:rFonts w:ascii="Arial" w:hAnsi="Arial" w:cs="Arial"/>
                <w:i/>
                <w:sz w:val="18"/>
                <w:szCs w:val="18"/>
                <w:lang w:val="en-US"/>
              </w:rPr>
              <w:t xml:space="preserve"> </w:t>
            </w:r>
          </w:p>
          <w:p w14:paraId="362B6A98" w14:textId="77777777" w:rsidR="00634708" w:rsidRPr="0098717E" w:rsidRDefault="00634708" w:rsidP="00E51EA2">
            <w:pPr>
              <w:rPr>
                <w:rFonts w:ascii="Arial" w:hAnsi="Arial" w:cs="Arial"/>
                <w:i/>
                <w:sz w:val="18"/>
                <w:szCs w:val="18"/>
                <w:lang w:val="en-US"/>
              </w:rPr>
            </w:pPr>
          </w:p>
          <w:p w14:paraId="3AA518F1" w14:textId="77777777" w:rsidR="00634708" w:rsidRPr="0098717E" w:rsidRDefault="00634708" w:rsidP="00E51EA2">
            <w:pPr>
              <w:rPr>
                <w:rFonts w:ascii="Arial" w:hAnsi="Arial" w:cs="Arial"/>
                <w:i/>
                <w:sz w:val="18"/>
                <w:szCs w:val="18"/>
                <w:lang w:val="en-US"/>
              </w:rPr>
            </w:pPr>
            <w:r w:rsidRPr="0098717E">
              <w:rPr>
                <w:rFonts w:ascii="Arial" w:hAnsi="Arial" w:cs="Arial"/>
                <w:i/>
                <w:sz w:val="18"/>
                <w:szCs w:val="18"/>
                <w:lang w:val="en-US"/>
              </w:rPr>
              <w:t xml:space="preserve">Co-submissions are papers that have been submitted alongside an original research paper accepted for publication by another Elsevier journal </w:t>
            </w:r>
          </w:p>
          <w:p w14:paraId="6ABAB994" w14:textId="77777777" w:rsidR="00CE6674" w:rsidRPr="0098717E" w:rsidRDefault="00CE6674" w:rsidP="00E51EA2">
            <w:pPr>
              <w:rPr>
                <w:rFonts w:ascii="Arial" w:hAnsi="Arial" w:cs="Arial"/>
                <w:b/>
                <w:sz w:val="18"/>
                <w:szCs w:val="18"/>
                <w:lang w:val="en-US"/>
              </w:rPr>
            </w:pPr>
          </w:p>
        </w:tc>
        <w:tc>
          <w:tcPr>
            <w:tcW w:w="6520" w:type="dxa"/>
            <w:vAlign w:val="center"/>
          </w:tcPr>
          <w:sdt>
            <w:sdtPr>
              <w:rPr>
                <w:i/>
                <w:color w:val="A5A5A5" w:themeColor="accent3"/>
                <w:lang w:val="en-US"/>
              </w:rPr>
              <w:id w:val="352159366"/>
              <w:lock w:val="sdtLocked"/>
              <w:placeholder>
                <w:docPart w:val="3C0F39763F874423AAA5C3B9BBF90D10"/>
              </w:placeholder>
              <w:dropDownList>
                <w:listItem w:displayText="Direct Submission" w:value="Direct Submission"/>
                <w:listItem w:displayText="Co-Submission" w:value="Co-Submission"/>
              </w:dropDownList>
            </w:sdtPr>
            <w:sdtEndPr/>
            <w:sdtContent>
              <w:p w14:paraId="186E4F6A" w14:textId="60AD5D76" w:rsidR="00634708" w:rsidRPr="0098717E" w:rsidRDefault="004D2168" w:rsidP="00237ECE">
                <w:pPr>
                  <w:rPr>
                    <w:rFonts w:ascii="Arial" w:hAnsi="Arial" w:cs="Arial"/>
                    <w:i/>
                    <w:color w:val="A5A5A5" w:themeColor="accent3"/>
                    <w:sz w:val="18"/>
                    <w:szCs w:val="18"/>
                    <w:lang w:val="en-US"/>
                  </w:rPr>
                </w:pPr>
                <w:r w:rsidRPr="0098717E" w:rsidDel="00162FB7">
                  <w:rPr>
                    <w:i/>
                    <w:color w:val="A5A5A5" w:themeColor="accent3"/>
                    <w:lang w:val="en-US"/>
                  </w:rPr>
                  <w:t>Co-Submission</w:t>
                </w:r>
              </w:p>
            </w:sdtContent>
          </w:sdt>
          <w:p w14:paraId="5AE95785" w14:textId="77777777" w:rsidR="00CE6674" w:rsidRPr="0098717E" w:rsidRDefault="004D2168" w:rsidP="004D2168">
            <w:pPr>
              <w:pStyle w:val="ListParagraph"/>
              <w:ind w:left="360"/>
              <w:rPr>
                <w:rFonts w:ascii="Arial" w:hAnsi="Arial" w:cs="Arial"/>
                <w:i/>
                <w:sz w:val="18"/>
                <w:szCs w:val="18"/>
              </w:rPr>
            </w:pPr>
            <w:r w:rsidRPr="0098717E">
              <w:rPr>
                <w:rFonts w:ascii="Arial" w:hAnsi="Arial" w:cs="Arial"/>
                <w:i/>
                <w:sz w:val="18"/>
                <w:szCs w:val="18"/>
              </w:rPr>
              <w:t xml:space="preserve">Elsevier production reference: </w:t>
            </w:r>
            <w:r w:rsidRPr="0098717E">
              <w:rPr>
                <w:rFonts w:ascii="Verdana" w:hAnsi="Verdana"/>
                <w:b/>
                <w:bCs/>
                <w:color w:val="000033"/>
                <w:sz w:val="17"/>
                <w:szCs w:val="17"/>
                <w:shd w:val="clear" w:color="auto" w:fill="FFFFFF"/>
              </w:rPr>
              <w:t>NICL-19-503R2</w:t>
            </w:r>
          </w:p>
        </w:tc>
      </w:tr>
    </w:tbl>
    <w:p w14:paraId="63412585" w14:textId="77777777" w:rsidR="00980B29" w:rsidRPr="0098717E" w:rsidRDefault="00980B29" w:rsidP="005C7237">
      <w:pPr>
        <w:rPr>
          <w:rFonts w:ascii="Arial" w:hAnsi="Arial" w:cs="Arial"/>
          <w:b/>
          <w:sz w:val="18"/>
          <w:szCs w:val="18"/>
          <w:lang w:val="en-US"/>
        </w:rPr>
      </w:pPr>
    </w:p>
    <w:p w14:paraId="55494FDC" w14:textId="77777777" w:rsidR="00980B29" w:rsidRPr="0098717E" w:rsidRDefault="00980B29" w:rsidP="005C7237">
      <w:pPr>
        <w:rPr>
          <w:rFonts w:ascii="Arial" w:hAnsi="Arial" w:cs="Arial"/>
          <w:b/>
          <w:sz w:val="18"/>
          <w:szCs w:val="18"/>
          <w:lang w:val="en-US"/>
        </w:rPr>
      </w:pPr>
    </w:p>
    <w:p w14:paraId="78897E04" w14:textId="77777777" w:rsidR="009124E6" w:rsidRPr="0098717E" w:rsidRDefault="009124E6" w:rsidP="005C7237">
      <w:pPr>
        <w:rPr>
          <w:rFonts w:ascii="Arial" w:hAnsi="Arial" w:cs="Arial"/>
          <w:b/>
          <w:sz w:val="18"/>
          <w:szCs w:val="18"/>
          <w:lang w:val="en-US"/>
        </w:rPr>
      </w:pPr>
      <w:r w:rsidRPr="0098717E">
        <w:rPr>
          <w:rFonts w:ascii="Arial" w:hAnsi="Arial" w:cs="Arial"/>
          <w:b/>
          <w:sz w:val="18"/>
          <w:szCs w:val="18"/>
          <w:lang w:val="en-US"/>
        </w:rPr>
        <w:t>ABSTRACT</w:t>
      </w:r>
    </w:p>
    <w:p w14:paraId="4DB44A27" w14:textId="4B45A718" w:rsidR="004D2168" w:rsidRPr="0098717E" w:rsidRDefault="00C532E3" w:rsidP="00742442">
      <w:pPr>
        <w:jc w:val="both"/>
        <w:rPr>
          <w:rFonts w:ascii="Arial" w:hAnsi="Arial" w:cs="Arial"/>
          <w:iCs/>
          <w:sz w:val="18"/>
          <w:szCs w:val="18"/>
          <w:lang w:val="en-US"/>
        </w:rPr>
      </w:pPr>
      <w:r w:rsidRPr="0098717E">
        <w:rPr>
          <w:rFonts w:ascii="Arial" w:hAnsi="Arial" w:cs="Arial"/>
          <w:iCs/>
          <w:sz w:val="18"/>
          <w:szCs w:val="18"/>
          <w:lang w:val="en-US"/>
        </w:rPr>
        <w:t>Psychiatric medications</w:t>
      </w:r>
      <w:r w:rsidR="004D2168" w:rsidRPr="0098717E">
        <w:rPr>
          <w:rFonts w:ascii="Arial" w:hAnsi="Arial" w:cs="Arial"/>
          <w:iCs/>
          <w:sz w:val="18"/>
          <w:szCs w:val="18"/>
          <w:lang w:val="en-US"/>
        </w:rPr>
        <w:t xml:space="preserve"> present a unique problem for neuroscience, particularly functional magnetic resonance imaging (fMRI) analyses</w:t>
      </w:r>
      <w:r w:rsidRPr="0098717E">
        <w:rPr>
          <w:rFonts w:ascii="Arial" w:hAnsi="Arial" w:cs="Arial"/>
          <w:iCs/>
          <w:sz w:val="18"/>
          <w:szCs w:val="18"/>
          <w:lang w:val="en-US"/>
        </w:rPr>
        <w:t>, as many medications can influence neural activity in various brain regions</w:t>
      </w:r>
      <w:r w:rsidR="004D2168" w:rsidRPr="0098717E">
        <w:rPr>
          <w:rFonts w:ascii="Arial" w:hAnsi="Arial" w:cs="Arial"/>
          <w:iCs/>
          <w:sz w:val="18"/>
          <w:szCs w:val="18"/>
          <w:lang w:val="en-US"/>
        </w:rPr>
        <w:t xml:space="preserve">. </w:t>
      </w:r>
      <w:r w:rsidRPr="0098717E">
        <w:rPr>
          <w:rFonts w:ascii="Arial" w:hAnsi="Arial" w:cs="Arial"/>
          <w:iCs/>
          <w:sz w:val="18"/>
          <w:szCs w:val="18"/>
          <w:lang w:val="en-US"/>
        </w:rPr>
        <w:t>Recruiting p</w:t>
      </w:r>
      <w:r w:rsidR="004D2168" w:rsidRPr="0098717E">
        <w:rPr>
          <w:rFonts w:ascii="Arial" w:hAnsi="Arial" w:cs="Arial"/>
          <w:iCs/>
          <w:sz w:val="18"/>
          <w:szCs w:val="18"/>
          <w:lang w:val="en-US"/>
        </w:rPr>
        <w:t xml:space="preserve">articipants that are medication-free may bias experimental samples, while removing participants from current medications </w:t>
      </w:r>
      <w:r w:rsidRPr="0098717E">
        <w:rPr>
          <w:rFonts w:ascii="Arial" w:hAnsi="Arial" w:cs="Arial"/>
          <w:iCs/>
          <w:sz w:val="18"/>
          <w:szCs w:val="18"/>
          <w:lang w:val="en-US"/>
        </w:rPr>
        <w:t xml:space="preserve">can not only be dangerous and ethically </w:t>
      </w:r>
      <w:r w:rsidR="00F51F3B" w:rsidRPr="0098717E">
        <w:rPr>
          <w:rFonts w:ascii="Arial" w:hAnsi="Arial" w:cs="Arial"/>
          <w:iCs/>
          <w:sz w:val="18"/>
          <w:szCs w:val="18"/>
          <w:lang w:val="en-US"/>
        </w:rPr>
        <w:t>problematic</w:t>
      </w:r>
      <w:r w:rsidR="003A7265">
        <w:rPr>
          <w:rFonts w:ascii="Arial" w:hAnsi="Arial" w:cs="Arial"/>
          <w:iCs/>
          <w:sz w:val="18"/>
          <w:szCs w:val="18"/>
          <w:lang w:val="en-US"/>
        </w:rPr>
        <w:t>,</w:t>
      </w:r>
      <w:r w:rsidRPr="0098717E">
        <w:rPr>
          <w:rFonts w:ascii="Arial" w:hAnsi="Arial" w:cs="Arial"/>
          <w:iCs/>
          <w:sz w:val="18"/>
          <w:szCs w:val="18"/>
          <w:lang w:val="en-US"/>
        </w:rPr>
        <w:t xml:space="preserve"> but it may also result in momentary increases in symptomatology</w:t>
      </w:r>
      <w:r w:rsidR="00742442">
        <w:rPr>
          <w:rFonts w:ascii="Arial" w:hAnsi="Arial" w:cs="Arial"/>
          <w:iCs/>
          <w:sz w:val="18"/>
          <w:szCs w:val="18"/>
          <w:lang w:val="en-US"/>
        </w:rPr>
        <w:t xml:space="preserve"> (not to mention</w:t>
      </w:r>
      <w:r w:rsidR="004C79FB" w:rsidRPr="0098717E">
        <w:rPr>
          <w:rFonts w:ascii="Arial" w:hAnsi="Arial" w:cs="Arial"/>
          <w:iCs/>
          <w:sz w:val="18"/>
          <w:szCs w:val="18"/>
          <w:lang w:val="en-US"/>
        </w:rPr>
        <w:t xml:space="preserve"> other negative side-effects</w:t>
      </w:r>
      <w:r w:rsidR="00742442">
        <w:rPr>
          <w:rFonts w:ascii="Arial" w:hAnsi="Arial" w:cs="Arial"/>
          <w:iCs/>
          <w:sz w:val="18"/>
          <w:szCs w:val="18"/>
          <w:lang w:val="en-US"/>
        </w:rPr>
        <w:t>)</w:t>
      </w:r>
      <w:r w:rsidRPr="0098717E">
        <w:rPr>
          <w:rFonts w:ascii="Arial" w:hAnsi="Arial" w:cs="Arial"/>
          <w:iCs/>
          <w:sz w:val="18"/>
          <w:szCs w:val="18"/>
          <w:lang w:val="en-US"/>
        </w:rPr>
        <w:t>. To complicate things further, psychiatric patients are generally prescribed</w:t>
      </w:r>
      <w:r w:rsidR="00102C16" w:rsidRPr="0098717E">
        <w:rPr>
          <w:rFonts w:ascii="Arial" w:hAnsi="Arial" w:cs="Arial"/>
          <w:iCs/>
          <w:sz w:val="18"/>
          <w:szCs w:val="18"/>
          <w:lang w:val="en-US"/>
        </w:rPr>
        <w:t xml:space="preserve"> multiple,</w:t>
      </w:r>
      <w:r w:rsidRPr="0098717E">
        <w:rPr>
          <w:rFonts w:ascii="Arial" w:hAnsi="Arial" w:cs="Arial"/>
          <w:iCs/>
          <w:sz w:val="18"/>
          <w:szCs w:val="18"/>
          <w:lang w:val="en-US"/>
        </w:rPr>
        <w:t xml:space="preserve"> divergent types of medication</w:t>
      </w:r>
      <w:r w:rsidR="00742442">
        <w:rPr>
          <w:rFonts w:ascii="Arial" w:hAnsi="Arial" w:cs="Arial"/>
          <w:iCs/>
          <w:sz w:val="18"/>
          <w:szCs w:val="18"/>
          <w:lang w:val="en-US"/>
        </w:rPr>
        <w:t xml:space="preserve">s (e.g. antidepressants in combination with </w:t>
      </w:r>
      <w:r w:rsidR="004C79FB" w:rsidRPr="0098717E">
        <w:rPr>
          <w:rFonts w:ascii="Arial" w:hAnsi="Arial" w:cs="Arial"/>
          <w:iCs/>
          <w:sz w:val="18"/>
          <w:szCs w:val="18"/>
          <w:lang w:val="en-US"/>
        </w:rPr>
        <w:t>anxiolytics, etc.) all with variations in dosages. Accounting for these differences</w:t>
      </w:r>
      <w:r w:rsidR="00F51F3B" w:rsidRPr="0098717E">
        <w:rPr>
          <w:rFonts w:ascii="Arial" w:hAnsi="Arial" w:cs="Arial"/>
          <w:iCs/>
          <w:sz w:val="18"/>
          <w:szCs w:val="18"/>
          <w:lang w:val="en-US"/>
        </w:rPr>
        <w:t xml:space="preserve"> and their influence</w:t>
      </w:r>
      <w:r w:rsidR="004C79FB" w:rsidRPr="0098717E">
        <w:rPr>
          <w:rFonts w:ascii="Arial" w:hAnsi="Arial" w:cs="Arial"/>
          <w:iCs/>
          <w:sz w:val="18"/>
          <w:szCs w:val="18"/>
          <w:lang w:val="en-US"/>
        </w:rPr>
        <w:t xml:space="preserve"> on </w:t>
      </w:r>
      <w:r w:rsidR="003A7265">
        <w:rPr>
          <w:rFonts w:ascii="Arial" w:hAnsi="Arial" w:cs="Arial"/>
          <w:iCs/>
          <w:sz w:val="18"/>
          <w:szCs w:val="18"/>
          <w:lang w:val="en-US"/>
        </w:rPr>
        <w:t>neuroimaging data</w:t>
      </w:r>
      <w:r w:rsidR="004C79FB" w:rsidRPr="0098717E">
        <w:rPr>
          <w:rFonts w:ascii="Arial" w:hAnsi="Arial" w:cs="Arial"/>
          <w:iCs/>
          <w:sz w:val="18"/>
          <w:szCs w:val="18"/>
          <w:lang w:val="en-US"/>
        </w:rPr>
        <w:t xml:space="preserve"> is complicated. To account for these differences, we propose to calculate an overarching index of medication load, which can be used as a covariate </w:t>
      </w:r>
      <w:r w:rsidR="006D7E6A">
        <w:rPr>
          <w:rFonts w:ascii="Arial" w:hAnsi="Arial" w:cs="Arial"/>
          <w:iCs/>
          <w:sz w:val="18"/>
          <w:szCs w:val="18"/>
          <w:lang w:val="en-US"/>
        </w:rPr>
        <w:t xml:space="preserve">or regressor </w:t>
      </w:r>
      <w:r w:rsidR="004C79FB" w:rsidRPr="0098717E">
        <w:rPr>
          <w:rFonts w:ascii="Arial" w:hAnsi="Arial" w:cs="Arial"/>
          <w:iCs/>
          <w:sz w:val="18"/>
          <w:szCs w:val="18"/>
          <w:lang w:val="en-US"/>
        </w:rPr>
        <w:t xml:space="preserve">in </w:t>
      </w:r>
      <w:r w:rsidR="00F51F3B" w:rsidRPr="0098717E">
        <w:rPr>
          <w:rFonts w:ascii="Arial" w:hAnsi="Arial" w:cs="Arial"/>
          <w:iCs/>
          <w:sz w:val="18"/>
          <w:szCs w:val="18"/>
          <w:lang w:val="en-US"/>
        </w:rPr>
        <w:t xml:space="preserve">various </w:t>
      </w:r>
      <w:r w:rsidR="003A7265">
        <w:rPr>
          <w:rFonts w:ascii="Arial" w:hAnsi="Arial" w:cs="Arial"/>
          <w:iCs/>
          <w:sz w:val="18"/>
          <w:szCs w:val="18"/>
          <w:lang w:val="en-US"/>
        </w:rPr>
        <w:t xml:space="preserve">control style </w:t>
      </w:r>
      <w:r w:rsidR="004C79FB" w:rsidRPr="0098717E">
        <w:rPr>
          <w:rFonts w:ascii="Arial" w:hAnsi="Arial" w:cs="Arial"/>
          <w:iCs/>
          <w:sz w:val="18"/>
          <w:szCs w:val="18"/>
          <w:lang w:val="en-US"/>
        </w:rPr>
        <w:t>analyses.</w:t>
      </w:r>
    </w:p>
    <w:p w14:paraId="188D86D3" w14:textId="77777777" w:rsidR="004C79FB" w:rsidRPr="0098717E" w:rsidRDefault="004C79FB" w:rsidP="00C532E3">
      <w:pPr>
        <w:rPr>
          <w:rFonts w:ascii="Arial" w:hAnsi="Arial" w:cs="Arial"/>
          <w:i/>
          <w:sz w:val="18"/>
          <w:szCs w:val="18"/>
          <w:lang w:val="en-US"/>
        </w:rPr>
      </w:pPr>
    </w:p>
    <w:p w14:paraId="758E91DB" w14:textId="5EB9FB85" w:rsidR="00E50588" w:rsidRPr="00E50588" w:rsidRDefault="00E50588" w:rsidP="00E50588">
      <w:pPr>
        <w:pStyle w:val="ListParagraph"/>
        <w:numPr>
          <w:ilvl w:val="0"/>
          <w:numId w:val="2"/>
        </w:numPr>
        <w:spacing w:after="0"/>
        <w:rPr>
          <w:rFonts w:ascii="Arial" w:hAnsi="Arial" w:cs="Arial"/>
          <w:sz w:val="18"/>
          <w:szCs w:val="18"/>
        </w:rPr>
      </w:pPr>
      <w:r>
        <w:rPr>
          <w:rFonts w:ascii="Arial" w:hAnsi="Arial" w:cs="Arial"/>
          <w:sz w:val="18"/>
          <w:szCs w:val="18"/>
        </w:rPr>
        <w:t>A proposed methodology to calculate participant specific index of medication load.</w:t>
      </w:r>
    </w:p>
    <w:p w14:paraId="5BB612FF" w14:textId="77777777" w:rsidR="006D7E6A" w:rsidRPr="00387C81" w:rsidRDefault="006D7E6A" w:rsidP="006D7E6A">
      <w:pPr>
        <w:pStyle w:val="ListParagraph"/>
        <w:spacing w:after="0"/>
        <w:ind w:left="360"/>
        <w:rPr>
          <w:rFonts w:ascii="Arial" w:hAnsi="Arial" w:cs="Arial"/>
          <w:i/>
          <w:sz w:val="18"/>
          <w:szCs w:val="18"/>
          <w:highlight w:val="yellow"/>
        </w:rPr>
      </w:pPr>
    </w:p>
    <w:p w14:paraId="4A586FB0" w14:textId="77777777" w:rsidR="009124E6" w:rsidRPr="0098717E" w:rsidRDefault="009124E6" w:rsidP="005C7237">
      <w:pPr>
        <w:rPr>
          <w:rFonts w:ascii="Arial" w:hAnsi="Arial" w:cs="Arial"/>
          <w:b/>
          <w:sz w:val="18"/>
          <w:szCs w:val="18"/>
          <w:lang w:val="en-US"/>
        </w:rPr>
      </w:pPr>
    </w:p>
    <w:p w14:paraId="3DC18BF4" w14:textId="77777777" w:rsidR="009124E6" w:rsidRPr="0098717E" w:rsidRDefault="009124E6" w:rsidP="005C7237">
      <w:pPr>
        <w:rPr>
          <w:rFonts w:ascii="Arial" w:hAnsi="Arial" w:cs="Arial"/>
          <w:b/>
          <w:sz w:val="18"/>
          <w:szCs w:val="18"/>
          <w:lang w:val="en-US"/>
        </w:rPr>
      </w:pPr>
    </w:p>
    <w:p w14:paraId="4522E163" w14:textId="77777777" w:rsidR="009124E6" w:rsidRPr="0098717E" w:rsidRDefault="009124E6" w:rsidP="005C7237">
      <w:pPr>
        <w:rPr>
          <w:rFonts w:ascii="Arial" w:hAnsi="Arial" w:cs="Arial"/>
          <w:b/>
          <w:sz w:val="18"/>
          <w:szCs w:val="18"/>
          <w:lang w:val="en-US"/>
        </w:rPr>
      </w:pPr>
      <w:r w:rsidRPr="0098717E">
        <w:rPr>
          <w:rFonts w:ascii="Arial" w:hAnsi="Arial" w:cs="Arial"/>
          <w:b/>
          <w:sz w:val="18"/>
          <w:szCs w:val="18"/>
          <w:lang w:val="en-US"/>
        </w:rPr>
        <w:t>SPECIFICATIONS TABLE</w:t>
      </w:r>
    </w:p>
    <w:p w14:paraId="662D7352" w14:textId="77777777" w:rsidR="009124E6" w:rsidRPr="0098717E" w:rsidRDefault="009124E6" w:rsidP="005C7237">
      <w:pPr>
        <w:rPr>
          <w:rFonts w:ascii="Arial" w:hAnsi="Arial" w:cs="Arial"/>
          <w:b/>
          <w:sz w:val="18"/>
          <w:szCs w:val="18"/>
          <w:lang w:val="en-US"/>
        </w:rPr>
      </w:pPr>
    </w:p>
    <w:tbl>
      <w:tblPr>
        <w:tblStyle w:val="TableGrid"/>
        <w:tblW w:w="0" w:type="auto"/>
        <w:tblLayout w:type="fixed"/>
        <w:tblLook w:val="04A0" w:firstRow="1" w:lastRow="0" w:firstColumn="1" w:lastColumn="0" w:noHBand="0" w:noVBand="1"/>
      </w:tblPr>
      <w:tblGrid>
        <w:gridCol w:w="3681"/>
        <w:gridCol w:w="6520"/>
      </w:tblGrid>
      <w:tr w:rsidR="00B17C76" w:rsidRPr="0098717E" w14:paraId="46CA8D44" w14:textId="77777777" w:rsidTr="005315B3">
        <w:trPr>
          <w:trHeight w:val="510"/>
        </w:trPr>
        <w:tc>
          <w:tcPr>
            <w:tcW w:w="3681" w:type="dxa"/>
            <w:vAlign w:val="center"/>
          </w:tcPr>
          <w:p w14:paraId="78AE0141" w14:textId="77777777" w:rsidR="00B17C76" w:rsidRPr="0098717E" w:rsidRDefault="009124E6" w:rsidP="003A4A39">
            <w:pPr>
              <w:rPr>
                <w:rFonts w:ascii="Arial" w:hAnsi="Arial" w:cs="Arial"/>
                <w:b/>
                <w:sz w:val="18"/>
                <w:szCs w:val="18"/>
                <w:lang w:val="en-US"/>
              </w:rPr>
            </w:pPr>
            <w:r w:rsidRPr="0098717E">
              <w:rPr>
                <w:rFonts w:ascii="Arial" w:hAnsi="Arial" w:cs="Arial"/>
                <w:b/>
                <w:sz w:val="18"/>
                <w:szCs w:val="18"/>
                <w:lang w:val="en-US"/>
              </w:rPr>
              <w:t>Subject Area</w:t>
            </w:r>
          </w:p>
        </w:tc>
        <w:sdt>
          <w:sdtPr>
            <w:rPr>
              <w:rFonts w:ascii="Arial" w:hAnsi="Arial" w:cs="Arial"/>
              <w:sz w:val="18"/>
              <w:szCs w:val="18"/>
              <w:lang w:val="en-US"/>
            </w:rPr>
            <w:id w:val="-2069723166"/>
            <w:lock w:val="sdtLocked"/>
            <w:placeholder>
              <w:docPart w:val="FB9DDF28782A452F99DCE92F8650498E"/>
            </w:placeholder>
            <w:dropDownList>
              <w:listItem w:displayText="Agricultural and Biological Sciences " w:value="Agricultural and Biological Sciences "/>
              <w:listItem w:displayText="Biochemistry, Genetics and Molecular Biology " w:value="Biochemistry, Genetics and Molecular Biology "/>
              <w:listItem w:displayText="Chemical Engineering " w:value="Chemical Engineering "/>
              <w:listItem w:displayText="Chemistry" w:value="Chemistry"/>
              <w:listItem w:displayText="Computer Science" w:value="Computer Science"/>
              <w:listItem w:displayText="Earth and Planetary Sciences " w:value="Earth and Planetary Sciences "/>
              <w:listItem w:displayText="Economics and Finance" w:value="Economics and Finance"/>
              <w:listItem w:displayText="Energy " w:value="Energy "/>
              <w:listItem w:displayText="Engineering " w:value="Engineering "/>
              <w:listItem w:displayText="Environmental Science" w:value="Environmental Science"/>
              <w:listItem w:displayText="Immunology and Microbiology " w:value="Immunology and Microbiology "/>
              <w:listItem w:displayText="Materials Science" w:value="Materials Science"/>
              <w:listItem w:displayText="Medicine and Dentistry " w:value="Medicine and Dentistry "/>
              <w:listItem w:displayText="Neuroscience " w:value="Neuroscience "/>
              <w:listItem w:displayText="Pharmacology, Toxicology and Pharmaceutical Science " w:value="Pharmacology, Toxicology and Pharmaceutical Science "/>
              <w:listItem w:displayText="Physics and Astronomy " w:value="Physics and Astronomy "/>
              <w:listItem w:displayText="Psychology " w:value="Psychology "/>
              <w:listItem w:displayText="Veterinary Science and Veterinary Medicine" w:value="Veterinary Science and Veterinary Medicine"/>
            </w:dropDownList>
          </w:sdtPr>
          <w:sdtEndPr/>
          <w:sdtContent>
            <w:tc>
              <w:tcPr>
                <w:tcW w:w="6520" w:type="dxa"/>
                <w:vAlign w:val="center"/>
              </w:tcPr>
              <w:p w14:paraId="46730D1B" w14:textId="4B57B83B" w:rsidR="00B17C76" w:rsidRPr="0098717E" w:rsidRDefault="004D2168" w:rsidP="003A4A39">
                <w:pPr>
                  <w:rPr>
                    <w:rFonts w:ascii="Arial" w:hAnsi="Arial" w:cs="Arial"/>
                    <w:i/>
                    <w:sz w:val="18"/>
                    <w:szCs w:val="18"/>
                    <w:lang w:val="en-US"/>
                  </w:rPr>
                </w:pPr>
                <w:r w:rsidRPr="0098717E" w:rsidDel="00162FB7">
                  <w:rPr>
                    <w:rFonts w:ascii="Arial" w:hAnsi="Arial" w:cs="Arial"/>
                    <w:sz w:val="18"/>
                    <w:szCs w:val="18"/>
                    <w:lang w:val="en-US"/>
                  </w:rPr>
                  <w:t xml:space="preserve">Neuroscience </w:t>
                </w:r>
              </w:p>
            </w:tc>
          </w:sdtContent>
        </w:sdt>
      </w:tr>
      <w:tr w:rsidR="00B17C76" w:rsidRPr="0098717E" w14:paraId="11BD55CE" w14:textId="77777777" w:rsidTr="005315B3">
        <w:trPr>
          <w:trHeight w:val="510"/>
        </w:trPr>
        <w:tc>
          <w:tcPr>
            <w:tcW w:w="3681" w:type="dxa"/>
            <w:vAlign w:val="center"/>
          </w:tcPr>
          <w:p w14:paraId="639A35FA" w14:textId="77777777" w:rsidR="00B17C76" w:rsidRPr="0098717E" w:rsidRDefault="00B17C76" w:rsidP="003A4A39">
            <w:pPr>
              <w:tabs>
                <w:tab w:val="left" w:pos="1290"/>
              </w:tabs>
              <w:rPr>
                <w:rFonts w:ascii="Arial" w:hAnsi="Arial" w:cs="Arial"/>
                <w:b/>
                <w:sz w:val="18"/>
                <w:szCs w:val="18"/>
                <w:lang w:val="en-US"/>
              </w:rPr>
            </w:pPr>
            <w:r w:rsidRPr="0098717E">
              <w:rPr>
                <w:rFonts w:ascii="Arial" w:hAnsi="Arial" w:cs="Arial"/>
                <w:b/>
                <w:sz w:val="18"/>
                <w:szCs w:val="18"/>
                <w:lang w:val="en-US"/>
              </w:rPr>
              <w:t>More specific subject area</w:t>
            </w:r>
          </w:p>
        </w:tc>
        <w:tc>
          <w:tcPr>
            <w:tcW w:w="6520" w:type="dxa"/>
            <w:vAlign w:val="center"/>
          </w:tcPr>
          <w:p w14:paraId="2E15B494" w14:textId="77777777" w:rsidR="00B17C76" w:rsidRPr="0098717E" w:rsidRDefault="004D2168" w:rsidP="003A4A39">
            <w:pPr>
              <w:tabs>
                <w:tab w:val="left" w:pos="1290"/>
              </w:tabs>
              <w:rPr>
                <w:rFonts w:ascii="Arial" w:hAnsi="Arial" w:cs="Arial"/>
                <w:i/>
                <w:sz w:val="18"/>
                <w:szCs w:val="18"/>
                <w:lang w:val="en-US"/>
              </w:rPr>
            </w:pPr>
            <w:r w:rsidRPr="0098717E">
              <w:rPr>
                <w:rFonts w:ascii="Arial" w:hAnsi="Arial" w:cs="Arial"/>
                <w:i/>
                <w:sz w:val="18"/>
                <w:szCs w:val="18"/>
                <w:lang w:val="en-US"/>
              </w:rPr>
              <w:t>Clinical Neuroscience</w:t>
            </w:r>
          </w:p>
        </w:tc>
      </w:tr>
      <w:tr w:rsidR="00B17C76" w:rsidRPr="0098717E" w14:paraId="5FF3429F" w14:textId="77777777" w:rsidTr="005315B3">
        <w:trPr>
          <w:trHeight w:val="510"/>
        </w:trPr>
        <w:tc>
          <w:tcPr>
            <w:tcW w:w="3681" w:type="dxa"/>
            <w:vAlign w:val="center"/>
          </w:tcPr>
          <w:p w14:paraId="2791709E" w14:textId="77777777" w:rsidR="00B17C76" w:rsidRPr="0098717E" w:rsidRDefault="00B17C76" w:rsidP="003A4A39">
            <w:pPr>
              <w:tabs>
                <w:tab w:val="left" w:pos="1290"/>
              </w:tabs>
              <w:rPr>
                <w:rFonts w:ascii="Arial" w:hAnsi="Arial" w:cs="Arial"/>
                <w:b/>
                <w:sz w:val="18"/>
                <w:szCs w:val="18"/>
                <w:lang w:val="en-US"/>
              </w:rPr>
            </w:pPr>
            <w:r w:rsidRPr="0098717E">
              <w:rPr>
                <w:rFonts w:ascii="Arial" w:hAnsi="Arial" w:cs="Arial"/>
                <w:b/>
                <w:sz w:val="18"/>
                <w:szCs w:val="18"/>
                <w:lang w:val="en-US"/>
              </w:rPr>
              <w:t>Method name</w:t>
            </w:r>
          </w:p>
        </w:tc>
        <w:tc>
          <w:tcPr>
            <w:tcW w:w="6520" w:type="dxa"/>
            <w:vAlign w:val="center"/>
          </w:tcPr>
          <w:p w14:paraId="119A1A65" w14:textId="6F71363C" w:rsidR="00B17C76" w:rsidRPr="0098717E" w:rsidRDefault="004D2168" w:rsidP="00EC7D39">
            <w:pPr>
              <w:tabs>
                <w:tab w:val="left" w:pos="1290"/>
              </w:tabs>
              <w:rPr>
                <w:rFonts w:ascii="Arial" w:hAnsi="Arial" w:cs="Arial"/>
                <w:sz w:val="18"/>
                <w:szCs w:val="18"/>
                <w:lang w:val="en-US"/>
              </w:rPr>
            </w:pPr>
            <w:r w:rsidRPr="0098717E">
              <w:rPr>
                <w:rFonts w:ascii="Arial" w:hAnsi="Arial" w:cs="Arial"/>
                <w:i/>
                <w:sz w:val="18"/>
                <w:szCs w:val="18"/>
                <w:lang w:val="en-US"/>
              </w:rPr>
              <w:t xml:space="preserve">Medication </w:t>
            </w:r>
            <w:r w:rsidR="00EC7D39">
              <w:rPr>
                <w:rFonts w:ascii="Arial" w:hAnsi="Arial" w:cs="Arial"/>
                <w:i/>
                <w:sz w:val="18"/>
                <w:szCs w:val="18"/>
                <w:lang w:val="en-US"/>
              </w:rPr>
              <w:t>L</w:t>
            </w:r>
            <w:r w:rsidRPr="0098717E">
              <w:rPr>
                <w:rFonts w:ascii="Arial" w:hAnsi="Arial" w:cs="Arial"/>
                <w:i/>
                <w:sz w:val="18"/>
                <w:szCs w:val="18"/>
                <w:lang w:val="en-US"/>
              </w:rPr>
              <w:t>oad</w:t>
            </w:r>
            <w:r w:rsidR="00630EFE" w:rsidRPr="0098717E">
              <w:rPr>
                <w:rFonts w:ascii="Arial" w:hAnsi="Arial" w:cs="Arial"/>
                <w:i/>
                <w:sz w:val="18"/>
                <w:szCs w:val="18"/>
                <w:lang w:val="en-US"/>
              </w:rPr>
              <w:t xml:space="preserve"> Index Calculation</w:t>
            </w:r>
          </w:p>
        </w:tc>
      </w:tr>
      <w:tr w:rsidR="00B17C76" w:rsidRPr="0098717E" w14:paraId="51B10D6F" w14:textId="77777777" w:rsidTr="003A4A39">
        <w:trPr>
          <w:trHeight w:val="1018"/>
        </w:trPr>
        <w:tc>
          <w:tcPr>
            <w:tcW w:w="3681" w:type="dxa"/>
            <w:vAlign w:val="center"/>
          </w:tcPr>
          <w:p w14:paraId="124FB4DE" w14:textId="77777777" w:rsidR="00B17C76" w:rsidRPr="0098717E" w:rsidRDefault="00B17C76" w:rsidP="005315B3">
            <w:pPr>
              <w:rPr>
                <w:rFonts w:ascii="Arial" w:hAnsi="Arial" w:cs="Arial"/>
                <w:b/>
                <w:sz w:val="18"/>
                <w:szCs w:val="18"/>
                <w:lang w:val="en-US"/>
              </w:rPr>
            </w:pPr>
            <w:r w:rsidRPr="0098717E">
              <w:rPr>
                <w:rFonts w:ascii="Arial" w:hAnsi="Arial" w:cs="Arial"/>
                <w:b/>
                <w:sz w:val="18"/>
                <w:szCs w:val="18"/>
                <w:lang w:val="en-US"/>
              </w:rPr>
              <w:t>Name and reference of original method</w:t>
            </w:r>
          </w:p>
        </w:tc>
        <w:tc>
          <w:tcPr>
            <w:tcW w:w="6520" w:type="dxa"/>
            <w:vAlign w:val="center"/>
          </w:tcPr>
          <w:p w14:paraId="16DA59BB" w14:textId="77777777" w:rsidR="00B17C76" w:rsidRPr="0098717E" w:rsidRDefault="004D2168" w:rsidP="003A4A39">
            <w:pPr>
              <w:rPr>
                <w:rFonts w:ascii="Arial" w:hAnsi="Arial" w:cs="Arial"/>
                <w:i/>
                <w:sz w:val="18"/>
                <w:szCs w:val="18"/>
                <w:lang w:val="en-US"/>
              </w:rPr>
            </w:pPr>
            <w:proofErr w:type="spellStart"/>
            <w:r w:rsidRPr="0098717E">
              <w:rPr>
                <w:rFonts w:ascii="Arial" w:hAnsi="Arial" w:cs="Arial"/>
                <w:i/>
                <w:sz w:val="18"/>
                <w:szCs w:val="18"/>
                <w:lang w:val="en-US"/>
              </w:rPr>
              <w:t>Olié</w:t>
            </w:r>
            <w:proofErr w:type="spellEnd"/>
            <w:r w:rsidRPr="0098717E">
              <w:rPr>
                <w:rFonts w:ascii="Arial" w:hAnsi="Arial" w:cs="Arial"/>
                <w:i/>
                <w:sz w:val="18"/>
                <w:szCs w:val="18"/>
                <w:lang w:val="en-US"/>
              </w:rPr>
              <w:t xml:space="preserve"> E, Doell KC, Corradi-Dell’Acqua C, </w:t>
            </w:r>
            <w:proofErr w:type="spellStart"/>
            <w:r w:rsidRPr="0098717E">
              <w:rPr>
                <w:rFonts w:ascii="Arial" w:hAnsi="Arial" w:cs="Arial"/>
                <w:i/>
                <w:sz w:val="18"/>
                <w:szCs w:val="18"/>
                <w:lang w:val="en-US"/>
              </w:rPr>
              <w:t>Courtet</w:t>
            </w:r>
            <w:proofErr w:type="spellEnd"/>
            <w:r w:rsidRPr="0098717E">
              <w:rPr>
                <w:rFonts w:ascii="Arial" w:hAnsi="Arial" w:cs="Arial"/>
                <w:i/>
                <w:sz w:val="18"/>
                <w:szCs w:val="18"/>
                <w:lang w:val="en-US"/>
              </w:rPr>
              <w:t xml:space="preserve"> P, Perroud N, Schwartz S (2018): Physical pain recruits the nucleus accumbens during social distress in borderline personality disorder. Soc </w:t>
            </w:r>
            <w:proofErr w:type="spellStart"/>
            <w:r w:rsidRPr="0098717E">
              <w:rPr>
                <w:rFonts w:ascii="Arial" w:hAnsi="Arial" w:cs="Arial"/>
                <w:i/>
                <w:sz w:val="18"/>
                <w:szCs w:val="18"/>
                <w:lang w:val="en-US"/>
              </w:rPr>
              <w:t>Cogn</w:t>
            </w:r>
            <w:proofErr w:type="spellEnd"/>
            <w:r w:rsidRPr="0098717E">
              <w:rPr>
                <w:rFonts w:ascii="Arial" w:hAnsi="Arial" w:cs="Arial"/>
                <w:i/>
                <w:sz w:val="18"/>
                <w:szCs w:val="18"/>
                <w:lang w:val="en-US"/>
              </w:rPr>
              <w:t xml:space="preserve"> Affect </w:t>
            </w:r>
            <w:proofErr w:type="spellStart"/>
            <w:r w:rsidRPr="0098717E">
              <w:rPr>
                <w:rFonts w:ascii="Arial" w:hAnsi="Arial" w:cs="Arial"/>
                <w:i/>
                <w:sz w:val="18"/>
                <w:szCs w:val="18"/>
                <w:lang w:val="en-US"/>
              </w:rPr>
              <w:t>Neurosci</w:t>
            </w:r>
            <w:proofErr w:type="spellEnd"/>
            <w:r w:rsidRPr="0098717E">
              <w:rPr>
                <w:rFonts w:ascii="Arial" w:hAnsi="Arial" w:cs="Arial"/>
                <w:i/>
                <w:sz w:val="18"/>
                <w:szCs w:val="18"/>
                <w:lang w:val="en-US"/>
              </w:rPr>
              <w:t>. 13: 1071–1080.</w:t>
            </w:r>
          </w:p>
        </w:tc>
      </w:tr>
      <w:tr w:rsidR="00B17C76" w:rsidRPr="0006318C" w14:paraId="638F7903" w14:textId="77777777" w:rsidTr="003A4A39">
        <w:tc>
          <w:tcPr>
            <w:tcW w:w="3681" w:type="dxa"/>
            <w:vAlign w:val="center"/>
          </w:tcPr>
          <w:p w14:paraId="105D4580" w14:textId="77777777" w:rsidR="00B17C76" w:rsidRPr="0098717E" w:rsidRDefault="00B17C76" w:rsidP="005315B3">
            <w:pPr>
              <w:rPr>
                <w:rFonts w:ascii="Arial" w:hAnsi="Arial" w:cs="Arial"/>
                <w:b/>
                <w:sz w:val="18"/>
                <w:szCs w:val="18"/>
                <w:lang w:val="en-US"/>
              </w:rPr>
            </w:pPr>
            <w:r w:rsidRPr="0098717E">
              <w:rPr>
                <w:rFonts w:ascii="Arial" w:hAnsi="Arial" w:cs="Arial"/>
                <w:b/>
                <w:sz w:val="18"/>
                <w:szCs w:val="18"/>
                <w:lang w:val="en-US"/>
              </w:rPr>
              <w:t xml:space="preserve">Resource availability </w:t>
            </w:r>
          </w:p>
        </w:tc>
        <w:tc>
          <w:tcPr>
            <w:tcW w:w="6520" w:type="dxa"/>
            <w:vAlign w:val="center"/>
          </w:tcPr>
          <w:p w14:paraId="654001BC" w14:textId="77777777" w:rsidR="00B17C76" w:rsidRPr="0098717E" w:rsidRDefault="009124E6" w:rsidP="003A4A39">
            <w:pPr>
              <w:rPr>
                <w:rFonts w:ascii="Arial" w:hAnsi="Arial" w:cs="Arial"/>
                <w:i/>
                <w:sz w:val="18"/>
                <w:szCs w:val="18"/>
                <w:lang w:val="en-US"/>
              </w:rPr>
            </w:pPr>
            <w:r w:rsidRPr="0098717E">
              <w:rPr>
                <w:rFonts w:ascii="Arial" w:hAnsi="Arial" w:cs="Arial"/>
                <w:i/>
                <w:sz w:val="18"/>
                <w:szCs w:val="18"/>
                <w:lang w:val="en-US"/>
              </w:rPr>
              <w:t>If applicable, include links to resources necessary to reproduce the method (e.g. data, software, hardware, reagent)</w:t>
            </w:r>
          </w:p>
        </w:tc>
      </w:tr>
    </w:tbl>
    <w:p w14:paraId="122261A0" w14:textId="77777777" w:rsidR="00F737BF" w:rsidRPr="0098717E" w:rsidRDefault="00F737BF" w:rsidP="00F737BF">
      <w:pPr>
        <w:rPr>
          <w:lang w:val="en-US"/>
        </w:rPr>
      </w:pPr>
    </w:p>
    <w:p w14:paraId="4C08026D" w14:textId="77777777" w:rsidR="004633F2" w:rsidRPr="0098717E" w:rsidRDefault="004633F2" w:rsidP="004633F2">
      <w:pPr>
        <w:rPr>
          <w:rFonts w:ascii="Arial" w:hAnsi="Arial" w:cs="Arial"/>
          <w:i/>
          <w:sz w:val="18"/>
          <w:szCs w:val="18"/>
          <w:lang w:val="en-US"/>
        </w:rPr>
      </w:pPr>
      <w:r w:rsidRPr="0098717E">
        <w:rPr>
          <w:rFonts w:ascii="Arial" w:hAnsi="Arial" w:cs="Arial"/>
          <w:b/>
          <w:sz w:val="18"/>
          <w:szCs w:val="18"/>
          <w:lang w:val="en-US"/>
        </w:rPr>
        <w:t xml:space="preserve">*Method details </w:t>
      </w:r>
    </w:p>
    <w:p w14:paraId="7A0B988B" w14:textId="0D11BE6B" w:rsidR="00EC7D39" w:rsidRPr="00372B16" w:rsidRDefault="00EC7D39" w:rsidP="00372B16">
      <w:pPr>
        <w:spacing w:line="360" w:lineRule="auto"/>
        <w:jc w:val="both"/>
        <w:rPr>
          <w:rFonts w:asciiTheme="minorHAnsi" w:hAnsiTheme="minorHAnsi" w:cstheme="minorHAnsi"/>
          <w:sz w:val="20"/>
          <w:szCs w:val="20"/>
          <w:lang w:val="en-US"/>
        </w:rPr>
      </w:pPr>
      <w:r w:rsidRPr="0098314F">
        <w:rPr>
          <w:rFonts w:asciiTheme="minorHAnsi" w:hAnsiTheme="minorHAnsi" w:cstheme="minorHAnsi"/>
          <w:sz w:val="20"/>
          <w:szCs w:val="20"/>
          <w:u w:val="single"/>
          <w:lang w:val="en-US"/>
        </w:rPr>
        <w:t>Medication Load</w:t>
      </w:r>
      <w:r w:rsidR="00372B16" w:rsidRPr="0098314F">
        <w:rPr>
          <w:rFonts w:asciiTheme="minorHAnsi" w:hAnsiTheme="minorHAnsi" w:cstheme="minorHAnsi"/>
          <w:sz w:val="20"/>
          <w:szCs w:val="20"/>
          <w:u w:val="single"/>
          <w:lang w:val="en-US"/>
        </w:rPr>
        <w:t xml:space="preserve"> Calculation </w:t>
      </w:r>
      <w:r w:rsidR="00A3761F" w:rsidRPr="0098314F">
        <w:rPr>
          <w:rFonts w:asciiTheme="minorHAnsi" w:hAnsiTheme="minorHAnsi" w:cstheme="minorHAnsi"/>
          <w:sz w:val="20"/>
          <w:szCs w:val="20"/>
          <w:u w:val="single"/>
          <w:lang w:val="en-US"/>
        </w:rPr>
        <w:t>protocol</w:t>
      </w:r>
      <w:r w:rsidRPr="00372B16">
        <w:rPr>
          <w:rFonts w:asciiTheme="minorHAnsi" w:hAnsiTheme="minorHAnsi" w:cstheme="minorHAnsi"/>
          <w:sz w:val="20"/>
          <w:szCs w:val="20"/>
          <w:lang w:val="en-US"/>
        </w:rPr>
        <w:t>:</w:t>
      </w:r>
    </w:p>
    <w:p w14:paraId="38BD432F" w14:textId="4A281790" w:rsidR="00EC7D39" w:rsidRPr="00372B16" w:rsidRDefault="00372B16" w:rsidP="0098314F">
      <w:pPr>
        <w:spacing w:line="360" w:lineRule="auto"/>
        <w:ind w:firstLine="720"/>
        <w:jc w:val="both"/>
        <w:rPr>
          <w:rFonts w:asciiTheme="minorHAnsi" w:hAnsiTheme="minorHAnsi" w:cstheme="minorHAnsi"/>
          <w:sz w:val="20"/>
          <w:szCs w:val="20"/>
          <w:lang w:val="en-US"/>
        </w:rPr>
      </w:pPr>
      <w:r>
        <w:rPr>
          <w:rFonts w:asciiTheme="minorHAnsi" w:hAnsiTheme="minorHAnsi" w:cstheme="minorHAnsi"/>
          <w:sz w:val="20"/>
          <w:szCs w:val="20"/>
          <w:lang w:val="en-US"/>
        </w:rPr>
        <w:t xml:space="preserve">In order to develop a protocol for calculating overarching medication load, we combined techniques and procedures from various sources in order to create a coherent marking schema. </w:t>
      </w:r>
      <w:r w:rsidR="004C79FB" w:rsidRPr="00372B16">
        <w:rPr>
          <w:rFonts w:asciiTheme="minorHAnsi" w:hAnsiTheme="minorHAnsi" w:cstheme="minorHAnsi"/>
          <w:sz w:val="20"/>
          <w:szCs w:val="20"/>
          <w:lang w:val="en-US"/>
        </w:rPr>
        <w:t xml:space="preserve">To do so, </w:t>
      </w:r>
      <w:r w:rsidR="00742442">
        <w:rPr>
          <w:rFonts w:asciiTheme="minorHAnsi" w:hAnsiTheme="minorHAnsi" w:cstheme="minorHAnsi"/>
          <w:sz w:val="20"/>
          <w:szCs w:val="20"/>
          <w:lang w:val="en-US"/>
        </w:rPr>
        <w:t xml:space="preserve">all </w:t>
      </w:r>
      <w:r w:rsidR="004C79FB" w:rsidRPr="00372B16">
        <w:rPr>
          <w:rFonts w:asciiTheme="minorHAnsi" w:hAnsiTheme="minorHAnsi" w:cstheme="minorHAnsi"/>
          <w:sz w:val="20"/>
          <w:szCs w:val="20"/>
          <w:lang w:val="en-US"/>
        </w:rPr>
        <w:t>dosage</w:t>
      </w:r>
      <w:r w:rsidR="00F51F3B" w:rsidRPr="00372B16">
        <w:rPr>
          <w:rFonts w:asciiTheme="minorHAnsi" w:hAnsiTheme="minorHAnsi" w:cstheme="minorHAnsi"/>
          <w:sz w:val="20"/>
          <w:szCs w:val="20"/>
          <w:lang w:val="en-US"/>
        </w:rPr>
        <w:t>s are first coded</w:t>
      </w:r>
      <w:r w:rsidR="004C79FB" w:rsidRPr="00372B16">
        <w:rPr>
          <w:rFonts w:asciiTheme="minorHAnsi" w:hAnsiTheme="minorHAnsi" w:cstheme="minorHAnsi"/>
          <w:sz w:val="20"/>
          <w:szCs w:val="20"/>
          <w:lang w:val="en-US"/>
        </w:rPr>
        <w:t xml:space="preserve"> as absent (0), low (1)</w:t>
      </w:r>
      <w:r w:rsidR="003A7265">
        <w:rPr>
          <w:rFonts w:asciiTheme="minorHAnsi" w:hAnsiTheme="minorHAnsi" w:cstheme="minorHAnsi"/>
          <w:sz w:val="20"/>
          <w:szCs w:val="20"/>
          <w:lang w:val="en-US"/>
        </w:rPr>
        <w:t>,</w:t>
      </w:r>
      <w:r w:rsidR="004C79FB" w:rsidRPr="00372B16">
        <w:rPr>
          <w:rFonts w:asciiTheme="minorHAnsi" w:hAnsiTheme="minorHAnsi" w:cstheme="minorHAnsi"/>
          <w:sz w:val="20"/>
          <w:szCs w:val="20"/>
          <w:lang w:val="en-US"/>
        </w:rPr>
        <w:t xml:space="preserve"> or high (2) for each medication separately</w:t>
      </w:r>
      <w:r>
        <w:rPr>
          <w:rFonts w:asciiTheme="minorHAnsi" w:hAnsiTheme="minorHAnsi" w:cstheme="minorHAnsi"/>
          <w:sz w:val="20"/>
          <w:szCs w:val="20"/>
          <w:lang w:val="en-US"/>
        </w:rPr>
        <w:t xml:space="preserve"> (Table 1)</w:t>
      </w:r>
      <w:r w:rsidR="004C79FB" w:rsidRPr="00372B16">
        <w:rPr>
          <w:rFonts w:asciiTheme="minorHAnsi" w:hAnsiTheme="minorHAnsi" w:cstheme="minorHAnsi"/>
          <w:sz w:val="20"/>
          <w:szCs w:val="20"/>
          <w:lang w:val="en-US"/>
        </w:rPr>
        <w:t xml:space="preserve">. For antidepressants, we </w:t>
      </w:r>
      <w:r w:rsidR="00102C16" w:rsidRPr="00372B16">
        <w:rPr>
          <w:rFonts w:asciiTheme="minorHAnsi" w:hAnsiTheme="minorHAnsi" w:cstheme="minorHAnsi"/>
          <w:sz w:val="20"/>
          <w:szCs w:val="20"/>
          <w:lang w:val="en-US"/>
        </w:rPr>
        <w:t>utilized</w:t>
      </w:r>
      <w:r w:rsidR="004C79FB" w:rsidRPr="00372B16">
        <w:rPr>
          <w:rFonts w:asciiTheme="minorHAnsi" w:hAnsiTheme="minorHAnsi" w:cstheme="minorHAnsi"/>
          <w:sz w:val="20"/>
          <w:szCs w:val="20"/>
          <w:lang w:val="en-US"/>
        </w:rPr>
        <w:t xml:space="preserve"> a previously employed approach </w:t>
      </w:r>
      <w:r w:rsidR="004C79FB" w:rsidRPr="00372B16">
        <w:rPr>
          <w:rFonts w:asciiTheme="minorHAnsi" w:hAnsiTheme="minorHAnsi" w:cstheme="minorHAnsi"/>
          <w:sz w:val="20"/>
          <w:szCs w:val="20"/>
          <w:lang w:val="en-US"/>
        </w:rPr>
        <w:fldChar w:fldCharType="begin" w:fldLock="1"/>
      </w:r>
      <w:r w:rsidR="00CC5818" w:rsidRPr="00372B16">
        <w:rPr>
          <w:rFonts w:asciiTheme="minorHAnsi" w:hAnsiTheme="minorHAnsi" w:cstheme="minorHAnsi"/>
          <w:sz w:val="20"/>
          <w:szCs w:val="20"/>
          <w:lang w:val="en-US"/>
        </w:rPr>
        <w:instrText>ADDIN CSL_CITATION {"citationItems":[{"id":"ITEM-1","itemData":{"ISSN":"0160-6689","PMID":"11480879","abstract":"Most patients treated for an episode of unipolar or bipolar major depression are treatment resistant in the sense that the majority do not achieve full remission with the first somatic or psychosocial treatment they receive. Little attention has been given to formalizing criteria for evaluating the nature and extent of treatment resistance, even though determining the adequacy and outcome of prior treatment trials is key in clinical decision making about subsequent treatment. Furthermore, determining the adequacy of prior treatment is essential since substantial evidence indicates that large numbers of depressed patients are undertreated, resulting in prolonged episodes and the appearance of \"pseudoresistance.\" Adequacy of antidepressant treatment trials should be defined in terms of thresholds for the dosage and duration of medication, adherence, and clinical outcome. The Antidepressant Treatment History Form is presented as one method to formalize the evaluation of treatment adequacy and treatment resistance.","author":[{"dropping-particle":"","family":"Sackeim","given":"H A","non-dropping-particle":"","parse-names":false,"suffix":""}],"container-title":"The Journal of clinical psychiatry","id":"ITEM-1","issued":{"date-parts":[["2001"]]},"page":"10-7","title":"The definition and meaning of treatment-resistant depression.","type":"article-journal","volume":"62 Suppl 1"},"uris":["http://www.mendeley.com/documents/?uuid=506233dc-d61d-456b-a969-eb2e04126cd2"]}],"mendeley":{"formattedCitation":"(Sackeim, 2001)","plainTextFormattedCitation":"(Sackeim, 2001)","previouslyFormattedCitation":"(Sackeim, 2001)"},"properties":{"noteIndex":0},"schema":"https://github.com/citation-style-language/schema/raw/master/csl-citation.json"}</w:instrText>
      </w:r>
      <w:r w:rsidR="004C79FB" w:rsidRPr="00372B16">
        <w:rPr>
          <w:rFonts w:asciiTheme="minorHAnsi" w:hAnsiTheme="minorHAnsi" w:cstheme="minorHAnsi"/>
          <w:sz w:val="20"/>
          <w:szCs w:val="20"/>
          <w:lang w:val="en-US"/>
        </w:rPr>
        <w:fldChar w:fldCharType="separate"/>
      </w:r>
      <w:r w:rsidR="00F51F3B" w:rsidRPr="00372B16">
        <w:rPr>
          <w:rFonts w:asciiTheme="minorHAnsi" w:hAnsiTheme="minorHAnsi" w:cstheme="minorHAnsi"/>
          <w:sz w:val="20"/>
          <w:szCs w:val="20"/>
          <w:lang w:val="en-US"/>
        </w:rPr>
        <w:t>(Sackeim, 2001)</w:t>
      </w:r>
      <w:r w:rsidR="004C79FB" w:rsidRPr="00372B16">
        <w:rPr>
          <w:rFonts w:asciiTheme="minorHAnsi" w:hAnsiTheme="minorHAnsi" w:cstheme="minorHAnsi"/>
          <w:sz w:val="20"/>
          <w:szCs w:val="20"/>
          <w:lang w:val="en-US"/>
        </w:rPr>
        <w:fldChar w:fldCharType="end"/>
      </w:r>
      <w:r w:rsidR="004C79FB" w:rsidRPr="00372B16">
        <w:rPr>
          <w:rFonts w:asciiTheme="minorHAnsi" w:hAnsiTheme="minorHAnsi" w:cstheme="minorHAnsi"/>
          <w:sz w:val="20"/>
          <w:szCs w:val="20"/>
          <w:lang w:val="en-US"/>
        </w:rPr>
        <w:t xml:space="preserve"> that differentiates between 4 levels of dosages, which </w:t>
      </w:r>
      <w:r w:rsidR="00742442">
        <w:rPr>
          <w:rFonts w:asciiTheme="minorHAnsi" w:hAnsiTheme="minorHAnsi" w:cstheme="minorHAnsi"/>
          <w:sz w:val="20"/>
          <w:szCs w:val="20"/>
          <w:lang w:val="en-US"/>
        </w:rPr>
        <w:t xml:space="preserve">are </w:t>
      </w:r>
      <w:r w:rsidR="004C79FB" w:rsidRPr="00372B16">
        <w:rPr>
          <w:rFonts w:asciiTheme="minorHAnsi" w:hAnsiTheme="minorHAnsi" w:cstheme="minorHAnsi"/>
          <w:sz w:val="20"/>
          <w:szCs w:val="20"/>
          <w:lang w:val="en-US"/>
        </w:rPr>
        <w:t xml:space="preserve">then converted into low-dose (levels 1 and 2) and high-dose (levels 3 and 4). For antipsychotic treatments, the doses </w:t>
      </w:r>
      <w:r w:rsidR="00630EFE" w:rsidRPr="00372B16">
        <w:rPr>
          <w:rFonts w:asciiTheme="minorHAnsi" w:hAnsiTheme="minorHAnsi" w:cstheme="minorHAnsi"/>
          <w:sz w:val="20"/>
          <w:szCs w:val="20"/>
          <w:lang w:val="en-US"/>
        </w:rPr>
        <w:t xml:space="preserve">are </w:t>
      </w:r>
      <w:r w:rsidR="00742442">
        <w:rPr>
          <w:rFonts w:asciiTheme="minorHAnsi" w:hAnsiTheme="minorHAnsi" w:cstheme="minorHAnsi"/>
          <w:sz w:val="20"/>
          <w:szCs w:val="20"/>
          <w:lang w:val="en-US"/>
        </w:rPr>
        <w:t xml:space="preserve">first </w:t>
      </w:r>
      <w:r w:rsidR="00630EFE" w:rsidRPr="00372B16">
        <w:rPr>
          <w:rFonts w:asciiTheme="minorHAnsi" w:hAnsiTheme="minorHAnsi" w:cstheme="minorHAnsi"/>
          <w:sz w:val="20"/>
          <w:szCs w:val="20"/>
          <w:lang w:val="en-US"/>
        </w:rPr>
        <w:t xml:space="preserve">converted </w:t>
      </w:r>
      <w:r w:rsidR="004C79FB" w:rsidRPr="00372B16">
        <w:rPr>
          <w:rFonts w:asciiTheme="minorHAnsi" w:hAnsiTheme="minorHAnsi" w:cstheme="minorHAnsi"/>
          <w:sz w:val="20"/>
          <w:szCs w:val="20"/>
          <w:lang w:val="en-US"/>
        </w:rPr>
        <w:t>into chlorpromazine dose equivalents, and coded as 0, 1</w:t>
      </w:r>
      <w:r w:rsidR="00B815A9" w:rsidRPr="00372B16">
        <w:rPr>
          <w:rFonts w:asciiTheme="minorHAnsi" w:hAnsiTheme="minorHAnsi" w:cstheme="minorHAnsi"/>
          <w:sz w:val="20"/>
          <w:szCs w:val="20"/>
          <w:lang w:val="en-US"/>
        </w:rPr>
        <w:t>,</w:t>
      </w:r>
      <w:r w:rsidR="004C79FB" w:rsidRPr="00372B16">
        <w:rPr>
          <w:rFonts w:asciiTheme="minorHAnsi" w:hAnsiTheme="minorHAnsi" w:cstheme="minorHAnsi"/>
          <w:sz w:val="20"/>
          <w:szCs w:val="20"/>
          <w:lang w:val="en-US"/>
        </w:rPr>
        <w:t xml:space="preserve"> or 2, for no medication, up to mean effective daily dose, or above the daily dose</w:t>
      </w:r>
      <w:r w:rsidRPr="00372B16">
        <w:rPr>
          <w:rFonts w:asciiTheme="minorHAnsi" w:hAnsiTheme="minorHAnsi" w:cstheme="minorHAnsi"/>
          <w:sz w:val="20"/>
          <w:szCs w:val="20"/>
          <w:lang w:val="en-US"/>
        </w:rPr>
        <w:t xml:space="preserve"> respectively,</w:t>
      </w:r>
      <w:r w:rsidR="004C79FB" w:rsidRPr="00372B16">
        <w:rPr>
          <w:rFonts w:asciiTheme="minorHAnsi" w:hAnsiTheme="minorHAnsi" w:cstheme="minorHAnsi"/>
          <w:sz w:val="20"/>
          <w:szCs w:val="20"/>
          <w:lang w:val="en-US"/>
        </w:rPr>
        <w:t xml:space="preserve"> as defined by </w:t>
      </w:r>
      <w:r w:rsidR="004C79FB" w:rsidRPr="00372B16">
        <w:rPr>
          <w:rFonts w:asciiTheme="minorHAnsi" w:hAnsiTheme="minorHAnsi" w:cstheme="minorHAnsi"/>
          <w:sz w:val="20"/>
          <w:szCs w:val="20"/>
          <w:lang w:val="en-US"/>
        </w:rPr>
        <w:fldChar w:fldCharType="begin" w:fldLock="1"/>
      </w:r>
      <w:r w:rsidR="00CC5818" w:rsidRPr="00372B16">
        <w:rPr>
          <w:rFonts w:asciiTheme="minorHAnsi" w:hAnsiTheme="minorHAnsi" w:cstheme="minorHAnsi"/>
          <w:sz w:val="20"/>
          <w:szCs w:val="20"/>
          <w:lang w:val="en-US"/>
        </w:rPr>
        <w:instrText>ADDIN CSL_CITATION {"citationItems":[{"id":"ITEM-1","itemData":{"DOI":"10.1097/01.jcp.0000117422.05703.ae","ISBN":"0271-0749 (Print)","ISSN":"0271-0749","PMID":"15206667","abstract":"We review evidence from randomized, placebo-controlled studies of patients with schizophrenia or schizoaffective disorder, which compared 2 or more doses of an antipsychotic to calculate the dose-response curve for each first-generation (typical) antipsychotic (FGA) or second-generation (atypical) antipsychotic (SGA) and as a group (based on dose equivalence). We identified the near-maximal effective dose (ED; ie, the threshold dose necessary to produce all or almost all the clinical responses for each drug). In randomized, fixed-dose studies of SGAs, the near-maximal efficacy dose for olanzapine may be greater than 16 mg; for risperidone, it is 4 mg; and for ziprasidone, it is 120 mg. Risperidone at 2 mg daily is 50% less efficacious than higher doses. Olanzapine at about 6 mg is approximately 33% less effective than higher doses. Aripiprazole at 10 mg daily was fully efficacious. Doses of clozapine well above 400 mg are necessary for optimal treatment of many schizophrenia patients. We found 3.3 to 10 mg haloperidol to be the near-maximal ED range. We find no evidence that doses higher than these are more effective. We failed to find that high doses of haloperidol (or all other first-generation comparison drugs converted to equivalent doses) were less effective than medium doses (3.3 to 10 mg). While high-dose FGAs are not less effective, we feel it is important not to avoid using high dose to avoid excessive toxicity.","author":[{"dropping-particle":"","family":"Davis","given":"John M","non-dropping-particle":"","parse-names":false,"suffix":""},{"dropping-particle":"","family":"Chen","given":"Nancy","non-dropping-particle":"","parse-names":false,"suffix":""}],"container-title":"Journal of clinical psychopharmacology","id":"ITEM-1","issue":"2","issued":{"date-parts":[["2004"]]},"page":"192-208","title":"Dose response and dose equivalence of antipsychotics.","type":"article-journal","volume":"24"},"uris":["http://www.mendeley.com/documents/?uuid=99ce9622-9451-40a5-b6c0-8ed879afb73b"]}],"mendeley":{"formattedCitation":"(Davis &amp; Chen, 2004)","manualFormatting":"Davis and Chen (2004)","plainTextFormattedCitation":"(Davis &amp; Chen, 2004)","previouslyFormattedCitation":"(Davis &amp; Chen, 2004)"},"properties":{"noteIndex":0},"schema":"https://github.com/citation-style-language/schema/raw/master/csl-citation.json"}</w:instrText>
      </w:r>
      <w:r w:rsidR="004C79FB" w:rsidRPr="00372B16">
        <w:rPr>
          <w:rFonts w:asciiTheme="minorHAnsi" w:hAnsiTheme="minorHAnsi" w:cstheme="minorHAnsi"/>
          <w:sz w:val="20"/>
          <w:szCs w:val="20"/>
          <w:lang w:val="en-US"/>
        </w:rPr>
        <w:fldChar w:fldCharType="separate"/>
      </w:r>
      <w:r w:rsidR="004C79FB" w:rsidRPr="00372B16">
        <w:rPr>
          <w:rFonts w:asciiTheme="minorHAnsi" w:hAnsiTheme="minorHAnsi" w:cstheme="minorHAnsi"/>
          <w:sz w:val="20"/>
          <w:szCs w:val="20"/>
          <w:lang w:val="en-US"/>
        </w:rPr>
        <w:t>Davis and Chen (2004)</w:t>
      </w:r>
      <w:r w:rsidR="004C79FB" w:rsidRPr="00372B16">
        <w:rPr>
          <w:rFonts w:asciiTheme="minorHAnsi" w:hAnsiTheme="minorHAnsi" w:cstheme="minorHAnsi"/>
          <w:sz w:val="20"/>
          <w:szCs w:val="20"/>
          <w:lang w:val="en-US"/>
        </w:rPr>
        <w:fldChar w:fldCharType="end"/>
      </w:r>
      <w:r w:rsidR="004C79FB" w:rsidRPr="00372B16">
        <w:rPr>
          <w:rFonts w:asciiTheme="minorHAnsi" w:hAnsiTheme="minorHAnsi" w:cstheme="minorHAnsi"/>
          <w:sz w:val="20"/>
          <w:szCs w:val="20"/>
          <w:lang w:val="en-US"/>
        </w:rPr>
        <w:t xml:space="preserve">. </w:t>
      </w:r>
      <w:r w:rsidRPr="00372B16">
        <w:rPr>
          <w:rFonts w:asciiTheme="minorHAnsi" w:hAnsiTheme="minorHAnsi" w:cstheme="minorHAnsi"/>
          <w:sz w:val="20"/>
          <w:szCs w:val="20"/>
          <w:lang w:val="en-US"/>
        </w:rPr>
        <w:t xml:space="preserve">Other medications (labelled as “miscellaneous” in Table 1 and 2) </w:t>
      </w:r>
      <w:r w:rsidR="00A7694C" w:rsidRPr="00372B16">
        <w:rPr>
          <w:rFonts w:asciiTheme="minorHAnsi" w:hAnsiTheme="minorHAnsi" w:cstheme="minorHAnsi"/>
          <w:sz w:val="20"/>
          <w:szCs w:val="20"/>
          <w:lang w:val="en-US"/>
        </w:rPr>
        <w:t>including a</w:t>
      </w:r>
      <w:r w:rsidR="004C79FB" w:rsidRPr="00372B16">
        <w:rPr>
          <w:rFonts w:asciiTheme="minorHAnsi" w:hAnsiTheme="minorHAnsi" w:cstheme="minorHAnsi"/>
          <w:sz w:val="20"/>
          <w:szCs w:val="20"/>
          <w:lang w:val="en-US"/>
        </w:rPr>
        <w:t>nxiolytic</w:t>
      </w:r>
      <w:r w:rsidR="00A7694C" w:rsidRPr="00372B16">
        <w:rPr>
          <w:rFonts w:asciiTheme="minorHAnsi" w:hAnsiTheme="minorHAnsi" w:cstheme="minorHAnsi"/>
          <w:sz w:val="20"/>
          <w:szCs w:val="20"/>
          <w:lang w:val="en-US"/>
        </w:rPr>
        <w:t>s</w:t>
      </w:r>
      <w:r w:rsidR="004C79FB" w:rsidRPr="00372B16">
        <w:rPr>
          <w:rFonts w:asciiTheme="minorHAnsi" w:hAnsiTheme="minorHAnsi" w:cstheme="minorHAnsi"/>
          <w:sz w:val="20"/>
          <w:szCs w:val="20"/>
          <w:lang w:val="en-US"/>
        </w:rPr>
        <w:t xml:space="preserve"> (</w:t>
      </w:r>
      <w:r w:rsidR="00A7694C" w:rsidRPr="00372B16">
        <w:rPr>
          <w:rFonts w:asciiTheme="minorHAnsi" w:hAnsiTheme="minorHAnsi" w:cstheme="minorHAnsi"/>
          <w:sz w:val="20"/>
          <w:szCs w:val="20"/>
          <w:lang w:val="en-US"/>
        </w:rPr>
        <w:t xml:space="preserve">e.g. </w:t>
      </w:r>
      <w:r w:rsidR="004C79FB" w:rsidRPr="00372B16">
        <w:rPr>
          <w:rFonts w:asciiTheme="minorHAnsi" w:hAnsiTheme="minorHAnsi" w:cstheme="minorHAnsi"/>
          <w:sz w:val="20"/>
          <w:szCs w:val="20"/>
          <w:lang w:val="en-US"/>
        </w:rPr>
        <w:t xml:space="preserve">lorazepam) </w:t>
      </w:r>
      <w:r w:rsidR="00A7694C" w:rsidRPr="00372B16">
        <w:rPr>
          <w:rFonts w:asciiTheme="minorHAnsi" w:hAnsiTheme="minorHAnsi" w:cstheme="minorHAnsi"/>
          <w:sz w:val="20"/>
          <w:szCs w:val="20"/>
          <w:lang w:val="en-US"/>
        </w:rPr>
        <w:t xml:space="preserve">and </w:t>
      </w:r>
      <w:r w:rsidR="004C79FB" w:rsidRPr="00372B16">
        <w:rPr>
          <w:rFonts w:asciiTheme="minorHAnsi" w:hAnsiTheme="minorHAnsi" w:cstheme="minorHAnsi"/>
          <w:sz w:val="20"/>
          <w:szCs w:val="20"/>
          <w:lang w:val="en-US"/>
        </w:rPr>
        <w:t>psychostimulant</w:t>
      </w:r>
      <w:r w:rsidR="00A7694C" w:rsidRPr="00372B16">
        <w:rPr>
          <w:rFonts w:asciiTheme="minorHAnsi" w:hAnsiTheme="minorHAnsi" w:cstheme="minorHAnsi"/>
          <w:sz w:val="20"/>
          <w:szCs w:val="20"/>
          <w:lang w:val="en-US"/>
        </w:rPr>
        <w:t>s</w:t>
      </w:r>
      <w:r w:rsidR="004C79FB" w:rsidRPr="00372B16">
        <w:rPr>
          <w:rFonts w:asciiTheme="minorHAnsi" w:hAnsiTheme="minorHAnsi" w:cstheme="minorHAnsi"/>
          <w:sz w:val="20"/>
          <w:szCs w:val="20"/>
          <w:lang w:val="en-US"/>
        </w:rPr>
        <w:t xml:space="preserve"> (</w:t>
      </w:r>
      <w:r w:rsidR="00742442">
        <w:rPr>
          <w:rFonts w:asciiTheme="minorHAnsi" w:hAnsiTheme="minorHAnsi" w:cstheme="minorHAnsi"/>
          <w:sz w:val="20"/>
          <w:szCs w:val="20"/>
          <w:lang w:val="en-US"/>
        </w:rPr>
        <w:t xml:space="preserve">e.g. </w:t>
      </w:r>
      <w:r w:rsidR="004C79FB" w:rsidRPr="00372B16">
        <w:rPr>
          <w:rFonts w:asciiTheme="minorHAnsi" w:hAnsiTheme="minorHAnsi" w:cstheme="minorHAnsi"/>
          <w:sz w:val="20"/>
          <w:szCs w:val="20"/>
          <w:lang w:val="en-US"/>
        </w:rPr>
        <w:t xml:space="preserve">methylphenidate) </w:t>
      </w:r>
      <w:r>
        <w:rPr>
          <w:rFonts w:asciiTheme="minorHAnsi" w:hAnsiTheme="minorHAnsi" w:cstheme="minorHAnsi"/>
          <w:sz w:val="20"/>
          <w:szCs w:val="20"/>
          <w:lang w:val="en-US"/>
        </w:rPr>
        <w:t xml:space="preserve">doses </w:t>
      </w:r>
      <w:r w:rsidR="00742442">
        <w:rPr>
          <w:rFonts w:asciiTheme="minorHAnsi" w:hAnsiTheme="minorHAnsi" w:cstheme="minorHAnsi"/>
          <w:sz w:val="20"/>
          <w:szCs w:val="20"/>
          <w:lang w:val="en-US"/>
        </w:rPr>
        <w:t>are</w:t>
      </w:r>
      <w:r>
        <w:rPr>
          <w:rFonts w:asciiTheme="minorHAnsi" w:hAnsiTheme="minorHAnsi" w:cstheme="minorHAnsi"/>
          <w:sz w:val="20"/>
          <w:szCs w:val="20"/>
          <w:lang w:val="en-US"/>
        </w:rPr>
        <w:t xml:space="preserve"> coded as 0 fo</w:t>
      </w:r>
      <w:r w:rsidR="00742442">
        <w:rPr>
          <w:rFonts w:asciiTheme="minorHAnsi" w:hAnsiTheme="minorHAnsi" w:cstheme="minorHAnsi"/>
          <w:sz w:val="20"/>
          <w:szCs w:val="20"/>
          <w:lang w:val="en-US"/>
        </w:rPr>
        <w:t xml:space="preserve">r absent, and 1 if present, because these medications tend to be prescribed </w:t>
      </w:r>
      <w:r w:rsidR="007370E3">
        <w:rPr>
          <w:rFonts w:asciiTheme="minorHAnsi" w:hAnsiTheme="minorHAnsi" w:cstheme="minorHAnsi"/>
          <w:sz w:val="20"/>
          <w:szCs w:val="20"/>
          <w:lang w:val="en-US"/>
        </w:rPr>
        <w:t>at the lowest dosages</w:t>
      </w:r>
      <w:r w:rsidR="00742442">
        <w:rPr>
          <w:rFonts w:asciiTheme="minorHAnsi" w:hAnsiTheme="minorHAnsi" w:cstheme="minorHAnsi"/>
          <w:sz w:val="20"/>
          <w:szCs w:val="20"/>
          <w:lang w:val="en-US"/>
        </w:rPr>
        <w:t xml:space="preserve">. </w:t>
      </w:r>
      <w:r w:rsidR="004C79FB" w:rsidRPr="00372B16">
        <w:rPr>
          <w:rFonts w:asciiTheme="minorHAnsi" w:hAnsiTheme="minorHAnsi" w:cstheme="minorHAnsi"/>
          <w:sz w:val="20"/>
          <w:szCs w:val="20"/>
          <w:lang w:val="en-US"/>
        </w:rPr>
        <w:t xml:space="preserve">Finally, </w:t>
      </w:r>
      <w:r w:rsidR="00F51F3B" w:rsidRPr="00372B16">
        <w:rPr>
          <w:rFonts w:asciiTheme="minorHAnsi" w:hAnsiTheme="minorHAnsi" w:cstheme="minorHAnsi"/>
          <w:sz w:val="20"/>
          <w:szCs w:val="20"/>
          <w:lang w:val="en-US"/>
        </w:rPr>
        <w:t>to</w:t>
      </w:r>
      <w:r w:rsidR="004C79FB" w:rsidRPr="00372B16">
        <w:rPr>
          <w:rFonts w:asciiTheme="minorHAnsi" w:hAnsiTheme="minorHAnsi" w:cstheme="minorHAnsi"/>
          <w:sz w:val="20"/>
          <w:szCs w:val="20"/>
          <w:lang w:val="en-US"/>
        </w:rPr>
        <w:t xml:space="preserve"> generate a composite measure of total medication load</w:t>
      </w:r>
      <w:r w:rsidR="008F25A1" w:rsidRPr="00372B16">
        <w:rPr>
          <w:rFonts w:asciiTheme="minorHAnsi" w:hAnsiTheme="minorHAnsi" w:cstheme="minorHAnsi"/>
          <w:sz w:val="20"/>
          <w:szCs w:val="20"/>
          <w:lang w:val="en-US"/>
        </w:rPr>
        <w:t xml:space="preserve"> index</w:t>
      </w:r>
      <w:r w:rsidR="004C79FB" w:rsidRPr="00372B16">
        <w:rPr>
          <w:rFonts w:asciiTheme="minorHAnsi" w:hAnsiTheme="minorHAnsi" w:cstheme="minorHAnsi"/>
          <w:sz w:val="20"/>
          <w:szCs w:val="20"/>
          <w:lang w:val="en-US"/>
        </w:rPr>
        <w:t xml:space="preserve">, reflecting dose and variety of different medications taken, </w:t>
      </w:r>
      <w:r w:rsidR="00F51F3B" w:rsidRPr="00372B16">
        <w:rPr>
          <w:rFonts w:asciiTheme="minorHAnsi" w:hAnsiTheme="minorHAnsi" w:cstheme="minorHAnsi"/>
          <w:sz w:val="20"/>
          <w:szCs w:val="20"/>
          <w:lang w:val="en-US"/>
        </w:rPr>
        <w:t>each category and all medication codes are summed for each individual participant</w:t>
      </w:r>
      <w:r w:rsidR="00742442">
        <w:rPr>
          <w:rFonts w:asciiTheme="minorHAnsi" w:hAnsiTheme="minorHAnsi" w:cstheme="minorHAnsi"/>
          <w:sz w:val="20"/>
          <w:szCs w:val="20"/>
          <w:lang w:val="en-US"/>
        </w:rPr>
        <w:t xml:space="preserve"> (examples are shown in Table 2)</w:t>
      </w:r>
      <w:r w:rsidR="00F51F3B" w:rsidRPr="00372B16">
        <w:rPr>
          <w:rFonts w:asciiTheme="minorHAnsi" w:hAnsiTheme="minorHAnsi" w:cstheme="minorHAnsi"/>
          <w:sz w:val="20"/>
          <w:szCs w:val="20"/>
          <w:lang w:val="en-US"/>
        </w:rPr>
        <w:t>.</w:t>
      </w:r>
      <w:r w:rsidR="004C79FB" w:rsidRPr="00372B16">
        <w:rPr>
          <w:rFonts w:asciiTheme="minorHAnsi" w:hAnsiTheme="minorHAnsi" w:cstheme="minorHAnsi"/>
          <w:sz w:val="20"/>
          <w:szCs w:val="20"/>
          <w:lang w:val="en-US"/>
        </w:rPr>
        <w:t xml:space="preserve"> </w:t>
      </w:r>
    </w:p>
    <w:p w14:paraId="7715AC39" w14:textId="3293CB16" w:rsidR="00EC7D39" w:rsidRPr="00372B16" w:rsidRDefault="003B7983" w:rsidP="00372B16">
      <w:pPr>
        <w:spacing w:line="360" w:lineRule="auto"/>
        <w:jc w:val="both"/>
        <w:rPr>
          <w:rFonts w:asciiTheme="minorHAnsi" w:hAnsiTheme="minorHAnsi" w:cstheme="minorHAnsi"/>
          <w:sz w:val="20"/>
          <w:szCs w:val="20"/>
          <w:lang w:val="en-US"/>
        </w:rPr>
      </w:pPr>
      <w:r w:rsidRPr="0098314F">
        <w:rPr>
          <w:rFonts w:asciiTheme="minorHAnsi" w:hAnsiTheme="minorHAnsi" w:cstheme="minorHAnsi"/>
          <w:sz w:val="20"/>
          <w:szCs w:val="20"/>
          <w:u w:val="single"/>
          <w:lang w:val="en-US"/>
        </w:rPr>
        <w:t>Medication Load as a covariate</w:t>
      </w:r>
      <w:r>
        <w:rPr>
          <w:rFonts w:asciiTheme="minorHAnsi" w:hAnsiTheme="minorHAnsi" w:cstheme="minorHAnsi"/>
          <w:sz w:val="20"/>
          <w:szCs w:val="20"/>
          <w:lang w:val="en-US"/>
        </w:rPr>
        <w:t xml:space="preserve">: </w:t>
      </w:r>
    </w:p>
    <w:p w14:paraId="1D26D46A" w14:textId="328E9085" w:rsidR="003B7983" w:rsidRDefault="00CC5818" w:rsidP="003B7983">
      <w:pPr>
        <w:spacing w:line="360" w:lineRule="auto"/>
        <w:ind w:firstLine="720"/>
        <w:jc w:val="both"/>
        <w:rPr>
          <w:rFonts w:asciiTheme="minorHAnsi" w:hAnsiTheme="minorHAnsi" w:cstheme="minorHAnsi"/>
          <w:sz w:val="20"/>
          <w:szCs w:val="20"/>
          <w:lang w:val="en-US"/>
        </w:rPr>
      </w:pPr>
      <w:r w:rsidRPr="00372B16">
        <w:rPr>
          <w:rFonts w:asciiTheme="minorHAnsi" w:hAnsiTheme="minorHAnsi" w:cstheme="minorHAnsi"/>
          <w:sz w:val="20"/>
          <w:szCs w:val="20"/>
          <w:lang w:val="en-US"/>
        </w:rPr>
        <w:t xml:space="preserve">There are multiple analyses that can be utilized to </w:t>
      </w:r>
      <w:r w:rsidR="00A3761F">
        <w:rPr>
          <w:rFonts w:asciiTheme="minorHAnsi" w:hAnsiTheme="minorHAnsi" w:cstheme="minorHAnsi"/>
          <w:sz w:val="20"/>
          <w:szCs w:val="20"/>
          <w:lang w:val="en-US"/>
        </w:rPr>
        <w:t>investigate</w:t>
      </w:r>
      <w:r w:rsidR="00E50588" w:rsidRPr="00372B16">
        <w:rPr>
          <w:rFonts w:asciiTheme="minorHAnsi" w:hAnsiTheme="minorHAnsi" w:cstheme="minorHAnsi"/>
          <w:sz w:val="20"/>
          <w:szCs w:val="20"/>
          <w:lang w:val="en-US"/>
        </w:rPr>
        <w:t xml:space="preserve"> the overarching influence of medication on neuroimaging data in</w:t>
      </w:r>
      <w:r w:rsidRPr="00372B16">
        <w:rPr>
          <w:rFonts w:asciiTheme="minorHAnsi" w:hAnsiTheme="minorHAnsi" w:cstheme="minorHAnsi"/>
          <w:sz w:val="20"/>
          <w:szCs w:val="20"/>
          <w:lang w:val="en-US"/>
        </w:rPr>
        <w:t xml:space="preserve"> patient studies. </w:t>
      </w:r>
      <w:r w:rsidR="003B7983">
        <w:rPr>
          <w:rFonts w:asciiTheme="minorHAnsi" w:hAnsiTheme="minorHAnsi" w:cstheme="minorHAnsi"/>
          <w:sz w:val="20"/>
          <w:szCs w:val="20"/>
          <w:lang w:val="en-US"/>
        </w:rPr>
        <w:t>For example, t</w:t>
      </w:r>
      <w:r w:rsidR="003B7983" w:rsidRPr="00372B16">
        <w:rPr>
          <w:rFonts w:asciiTheme="minorHAnsi" w:hAnsiTheme="minorHAnsi" w:cstheme="minorHAnsi"/>
          <w:sz w:val="20"/>
          <w:szCs w:val="20"/>
          <w:lang w:val="en-US"/>
        </w:rPr>
        <w:t>he medication load can be entered as a correlate or regressor into statistical models inside of fMRI analyses, alongside any other relevant factors (e.g. age).</w:t>
      </w:r>
      <w:r w:rsidR="003B7983" w:rsidRPr="003B7983">
        <w:rPr>
          <w:rFonts w:asciiTheme="minorHAnsi" w:hAnsiTheme="minorHAnsi" w:cstheme="minorHAnsi"/>
          <w:sz w:val="20"/>
          <w:szCs w:val="20"/>
          <w:lang w:val="en-US"/>
        </w:rPr>
        <w:t xml:space="preserve"> </w:t>
      </w:r>
      <w:r w:rsidR="003B7983">
        <w:rPr>
          <w:rFonts w:asciiTheme="minorHAnsi" w:hAnsiTheme="minorHAnsi" w:cstheme="minorHAnsi"/>
          <w:sz w:val="20"/>
          <w:szCs w:val="20"/>
          <w:lang w:val="en-US"/>
        </w:rPr>
        <w:t xml:space="preserve">If this process is used, we recommend doing so, only in the case where the analysis does </w:t>
      </w:r>
      <w:r w:rsidR="003B7983" w:rsidRPr="003B7983">
        <w:rPr>
          <w:rFonts w:asciiTheme="minorHAnsi" w:hAnsiTheme="minorHAnsi" w:cstheme="minorHAnsi"/>
          <w:i/>
          <w:sz w:val="20"/>
          <w:szCs w:val="20"/>
          <w:lang w:val="en-US"/>
        </w:rPr>
        <w:t>not</w:t>
      </w:r>
      <w:r w:rsidR="003B7983">
        <w:rPr>
          <w:rFonts w:asciiTheme="minorHAnsi" w:hAnsiTheme="minorHAnsi" w:cstheme="minorHAnsi"/>
          <w:sz w:val="20"/>
          <w:szCs w:val="20"/>
          <w:lang w:val="en-US"/>
        </w:rPr>
        <w:t xml:space="preserve"> compare patients with healthy controls. In general, control participants are un</w:t>
      </w:r>
      <w:r w:rsidR="00E641CB">
        <w:rPr>
          <w:rFonts w:asciiTheme="minorHAnsi" w:hAnsiTheme="minorHAnsi" w:cstheme="minorHAnsi"/>
          <w:sz w:val="20"/>
          <w:szCs w:val="20"/>
          <w:lang w:val="en-US"/>
        </w:rPr>
        <w:t>-</w:t>
      </w:r>
      <w:r w:rsidR="003B7983">
        <w:rPr>
          <w:rFonts w:asciiTheme="minorHAnsi" w:hAnsiTheme="minorHAnsi" w:cstheme="minorHAnsi"/>
          <w:sz w:val="20"/>
          <w:szCs w:val="20"/>
          <w:lang w:val="en-US"/>
        </w:rPr>
        <w:t xml:space="preserve">medicated (which is why they are controls), and so entering a covariate that is </w:t>
      </w:r>
      <w:r w:rsidR="00E641CB">
        <w:rPr>
          <w:rFonts w:asciiTheme="minorHAnsi" w:hAnsiTheme="minorHAnsi" w:cstheme="minorHAnsi"/>
          <w:sz w:val="20"/>
          <w:szCs w:val="20"/>
          <w:lang w:val="en-US"/>
        </w:rPr>
        <w:t xml:space="preserve">all </w:t>
      </w:r>
      <w:r w:rsidR="003B7983">
        <w:rPr>
          <w:rFonts w:asciiTheme="minorHAnsi" w:hAnsiTheme="minorHAnsi" w:cstheme="minorHAnsi"/>
          <w:sz w:val="20"/>
          <w:szCs w:val="20"/>
          <w:lang w:val="en-US"/>
        </w:rPr>
        <w:t xml:space="preserve">0s for one group, and contains more variance (e.g. ranging from 0 to 5 or 6) in another group would likely capture the majority of variance that is attributable to </w:t>
      </w:r>
      <w:r w:rsidR="00E641CB">
        <w:rPr>
          <w:rFonts w:asciiTheme="minorHAnsi" w:hAnsiTheme="minorHAnsi" w:cstheme="minorHAnsi"/>
          <w:sz w:val="20"/>
          <w:szCs w:val="20"/>
          <w:lang w:val="en-US"/>
        </w:rPr>
        <w:t xml:space="preserve">group differences in general and not solely related to medication. Rather, utilizing this type of analysis in cases where researchers are comparing multiple patient populations (e.g. borderline patients compared to bipolar patients), each with similar types and variations in medications is suggested. </w:t>
      </w:r>
    </w:p>
    <w:p w14:paraId="727478A0" w14:textId="62149C9F" w:rsidR="00A3761F" w:rsidRDefault="003B7983" w:rsidP="00A3761F">
      <w:pPr>
        <w:spacing w:line="360" w:lineRule="auto"/>
        <w:ind w:firstLine="720"/>
        <w:jc w:val="both"/>
        <w:rPr>
          <w:rFonts w:asciiTheme="minorHAnsi" w:hAnsiTheme="minorHAnsi" w:cstheme="minorHAnsi"/>
          <w:sz w:val="20"/>
          <w:szCs w:val="20"/>
          <w:lang w:val="en-US"/>
        </w:rPr>
      </w:pPr>
      <w:r>
        <w:rPr>
          <w:rFonts w:asciiTheme="minorHAnsi" w:hAnsiTheme="minorHAnsi" w:cstheme="minorHAnsi"/>
          <w:sz w:val="20"/>
          <w:szCs w:val="20"/>
          <w:lang w:val="en-US"/>
        </w:rPr>
        <w:t xml:space="preserve">Additionally, </w:t>
      </w:r>
      <w:r w:rsidR="00E641CB">
        <w:rPr>
          <w:rFonts w:asciiTheme="minorHAnsi" w:hAnsiTheme="minorHAnsi" w:cstheme="minorHAnsi"/>
          <w:sz w:val="20"/>
          <w:szCs w:val="20"/>
          <w:lang w:val="en-US"/>
        </w:rPr>
        <w:t>medication load</w:t>
      </w:r>
      <w:r>
        <w:rPr>
          <w:rFonts w:asciiTheme="minorHAnsi" w:hAnsiTheme="minorHAnsi" w:cstheme="minorHAnsi"/>
          <w:sz w:val="20"/>
          <w:szCs w:val="20"/>
          <w:lang w:val="en-US"/>
        </w:rPr>
        <w:t xml:space="preserve"> can be utilized in separate additional analyses (e.g. supplementary analyses/materials) by extracting the underlying signal from significantly activated brain regions (e.g. by utilizing a region of interest approach). </w:t>
      </w:r>
      <w:proofErr w:type="gramStart"/>
      <w:r w:rsidR="00E641CB">
        <w:rPr>
          <w:rFonts w:asciiTheme="minorHAnsi" w:hAnsiTheme="minorHAnsi" w:cstheme="minorHAnsi"/>
          <w:sz w:val="20"/>
          <w:szCs w:val="20"/>
          <w:lang w:val="en-US"/>
        </w:rPr>
        <w:t>Similar to</w:t>
      </w:r>
      <w:proofErr w:type="gramEnd"/>
      <w:r w:rsidR="00E641CB">
        <w:rPr>
          <w:rFonts w:asciiTheme="minorHAnsi" w:hAnsiTheme="minorHAnsi" w:cstheme="minorHAnsi"/>
          <w:sz w:val="20"/>
          <w:szCs w:val="20"/>
          <w:lang w:val="en-US"/>
        </w:rPr>
        <w:t xml:space="preserve"> the previous example, these analyses should also be conducted </w:t>
      </w:r>
      <w:r w:rsidR="00E641CB" w:rsidRPr="00E641CB">
        <w:rPr>
          <w:rFonts w:asciiTheme="minorHAnsi" w:hAnsiTheme="minorHAnsi" w:cstheme="minorHAnsi"/>
          <w:i/>
          <w:sz w:val="20"/>
          <w:szCs w:val="20"/>
          <w:lang w:val="en-US"/>
        </w:rPr>
        <w:t>within</w:t>
      </w:r>
      <w:r w:rsidR="00E641CB">
        <w:rPr>
          <w:rFonts w:asciiTheme="minorHAnsi" w:hAnsiTheme="minorHAnsi" w:cstheme="minorHAnsi"/>
          <w:sz w:val="20"/>
          <w:szCs w:val="20"/>
          <w:lang w:val="en-US"/>
        </w:rPr>
        <w:t xml:space="preserve"> the patient group (or between multiple medicated patient groups), and not between patients and controls. More specifically, </w:t>
      </w:r>
      <w:r w:rsidRPr="00372B16">
        <w:rPr>
          <w:rFonts w:asciiTheme="minorHAnsi" w:hAnsiTheme="minorHAnsi" w:cstheme="minorHAnsi"/>
          <w:sz w:val="20"/>
          <w:szCs w:val="20"/>
          <w:lang w:val="en-US"/>
        </w:rPr>
        <w:t xml:space="preserve">to test for any effects of Medication load on significantly activated brain regions measured utilizing fMRI, simple correlations (i.e. Spearman’s correlations) or analyses of covariance (ANCOVAs) can be computed using beta estimates extracted from significantly activated brain regions </w:t>
      </w:r>
      <w:r w:rsidRPr="00372B16">
        <w:rPr>
          <w:rFonts w:asciiTheme="minorHAnsi" w:hAnsiTheme="minorHAnsi" w:cstheme="minorHAnsi"/>
          <w:sz w:val="20"/>
          <w:szCs w:val="20"/>
          <w:lang w:val="en-US"/>
        </w:rPr>
        <w:fldChar w:fldCharType="begin" w:fldLock="1"/>
      </w:r>
      <w:r w:rsidRPr="00372B16">
        <w:rPr>
          <w:rFonts w:asciiTheme="minorHAnsi" w:hAnsiTheme="minorHAnsi" w:cstheme="minorHAnsi"/>
          <w:sz w:val="20"/>
          <w:szCs w:val="20"/>
          <w:lang w:val="en-US"/>
        </w:rPr>
        <w:instrText>ADDIN CSL_CITATION {"citationItems":[{"id":"ITEM-1","itemData":{"author":[{"dropping-particle":"","family":"Doell","given":"Kimberly C.","non-dropping-particle":"","parse-names":false,"suffix":""},{"dropping-particle":"","family":"Olié","given":"Emilie","non-dropping-particle":"","parse-names":false,"suffix":""},{"dropping-particle":"","family":"Corradi-Dell’Acqua","given":"Corrado","non-dropping-particle":"","parse-names":false,"suffix":""},{"dropping-particle":"","family":"Courtet","given":"Philippe","non-dropping-particle":"","parse-names":false,"suffix":""},{"dropping-particle":"","family":"Perroud","given":"Nader","non-dropping-particle":"","parse-names":false,"suffix":""},{"dropping-particle":"","family":"Schwartz","given":"Sophie","non-dropping-particle":"","parse-names":false,"suffix":""}],"container-title":"NeuroImage: Clinical","id":"ITEM-1","issued":{"date-parts":[["2019"]]},"title":"Atypical processing of social anticipation and feedback in borderline personality disorder","type":"article-journal"},"uris":["http://www.mendeley.com/documents/?uuid=e5802f8f-2d24-461c-b140-2c1d75fc2a6a"]},{"id":"ITEM-2","itemData":{"DOI":"10.1093/scan/nsy078","ISSN":"1749-5016","PMID":"30204911","abstract":"Patients with borderline personality disorder (BPD) often engage in dangerous self-injurious behaviors (SIBs) as a maladaptive technique to decrease heightened feelings of distress (e.g. negative feelings caused by social exclusion). The reward system has recently been proposed as a plausible neural substrate, which may influence the interaction between social distress and physical pain processing in patients that engage in SIBs. Using functional magnetic resonance imaging (fMRI) in 20 adult BPD patients with a history of SIBs and 23 healthy controls (HCs), we found a hyper-activation of the nucleus accumbens (NAcc) and amygdala when painful stimuli were presented to BPD patients (but not HCs) in a state of heightened distress, induced via social exclusion. This differential NAcc activity was mediated by anxious attachment style, which is a key developmental feature of the disorder. Altogether, these results suggest a neural mechanism underlying the pathophysiology of SIBs in these patients, which is likely reinforced via the reward system.","author":[{"dropping-particle":"","family":"Olié","given":"Emilie","non-dropping-particle":"","parse-names":false,"suffix":""},{"dropping-particle":"","family":"Doell","given":"Kimberly C","non-dropping-particle":"","parse-names":false,"suffix":""},{"dropping-particle":"","family":"Corradi-Dell’Acqua","given":"Corrado","non-dropping-particle":"","parse-names":false,"suffix":""},{"dropping-particle":"","family":"Courtet","given":"Philippe","non-dropping-particle":"","parse-names":false,"suffix":""},{"dropping-particle":"","family":"Perroud","given":"Nader","non-dropping-particle":"","parse-names":false,"suffix":""},{"dropping-particle":"","family":"Schwartz","given":"Sophie","non-dropping-particle":"","parse-names":false,"suffix":""}],"container-title":"Social Cognitive and Affective Neuroscience","id":"ITEM-2","issue":"10","issued":{"date-parts":[["2018","10","25"]]},"page":"1071-1080","title":"Physical pain recruits the nucleus accumbens during social distress in borderline personality disorder","type":"article-journal","volume":"13"},"uris":["http://www.mendeley.com/documents/?uuid=9fb50d4b-a0e1-4d74-a29e-a1fc2e1b80c5"]}],"mendeley":{"formattedCitation":"(Doell et al., 2019; Olié et al., 2018)","plainTextFormattedCitation":"(Doell et al., 2019; Olié et al., 2018)"},"properties":{"noteIndex":0},"schema":"https://github.com/citation-style-language/schema/raw/master/csl-citation.json"}</w:instrText>
      </w:r>
      <w:r w:rsidRPr="00372B16">
        <w:rPr>
          <w:rFonts w:asciiTheme="minorHAnsi" w:hAnsiTheme="minorHAnsi" w:cstheme="minorHAnsi"/>
          <w:sz w:val="20"/>
          <w:szCs w:val="20"/>
          <w:lang w:val="en-US"/>
        </w:rPr>
        <w:fldChar w:fldCharType="separate"/>
      </w:r>
      <w:r w:rsidRPr="00372B16">
        <w:rPr>
          <w:rFonts w:asciiTheme="minorHAnsi" w:hAnsiTheme="minorHAnsi" w:cstheme="minorHAnsi"/>
          <w:sz w:val="20"/>
          <w:szCs w:val="20"/>
          <w:lang w:val="en-US"/>
        </w:rPr>
        <w:t>(e.g. Doell et al., in press.; Olié et al., 2018)</w:t>
      </w:r>
      <w:r w:rsidRPr="00372B16">
        <w:rPr>
          <w:rFonts w:asciiTheme="minorHAnsi" w:hAnsiTheme="minorHAnsi" w:cstheme="minorHAnsi"/>
          <w:sz w:val="20"/>
          <w:szCs w:val="20"/>
          <w:lang w:val="en-US"/>
        </w:rPr>
        <w:fldChar w:fldCharType="end"/>
      </w:r>
      <w:r w:rsidRPr="00372B16">
        <w:rPr>
          <w:rFonts w:asciiTheme="minorHAnsi" w:hAnsiTheme="minorHAnsi" w:cstheme="minorHAnsi"/>
          <w:sz w:val="20"/>
          <w:szCs w:val="20"/>
          <w:lang w:val="en-US"/>
        </w:rPr>
        <w:t xml:space="preserve">. </w:t>
      </w:r>
      <w:r>
        <w:rPr>
          <w:rFonts w:asciiTheme="minorHAnsi" w:hAnsiTheme="minorHAnsi" w:cstheme="minorHAnsi"/>
          <w:sz w:val="20"/>
          <w:szCs w:val="20"/>
          <w:lang w:val="en-US"/>
        </w:rPr>
        <w:t>S</w:t>
      </w:r>
      <w:r w:rsidRPr="00372B16">
        <w:rPr>
          <w:rFonts w:asciiTheme="minorHAnsi" w:hAnsiTheme="minorHAnsi" w:cstheme="minorHAnsi"/>
          <w:sz w:val="20"/>
          <w:szCs w:val="20"/>
          <w:lang w:val="en-US"/>
        </w:rPr>
        <w:t>pecifically identifying significant interactions that include medication load (e.g. Medication Load x Factor 1), or simply main effects would suggest that there is an effect of overall medication load in contributing to the variation in the underlying brain</w:t>
      </w:r>
      <w:r>
        <w:rPr>
          <w:rFonts w:asciiTheme="minorHAnsi" w:hAnsiTheme="minorHAnsi" w:cstheme="minorHAnsi"/>
          <w:sz w:val="20"/>
          <w:szCs w:val="20"/>
          <w:lang w:val="en-US"/>
        </w:rPr>
        <w:t xml:space="preserve"> signal in that region.</w:t>
      </w:r>
      <w:r w:rsidR="00A3761F">
        <w:rPr>
          <w:rFonts w:asciiTheme="minorHAnsi" w:hAnsiTheme="minorHAnsi" w:cstheme="minorHAnsi"/>
          <w:sz w:val="20"/>
          <w:szCs w:val="20"/>
          <w:lang w:val="en-US"/>
        </w:rPr>
        <w:t xml:space="preserve"> </w:t>
      </w:r>
    </w:p>
    <w:p w14:paraId="4BC965D0" w14:textId="71C79A0D" w:rsidR="0098314F" w:rsidRDefault="0098314F" w:rsidP="0098314F">
      <w:pPr>
        <w:spacing w:line="360" w:lineRule="auto"/>
        <w:jc w:val="both"/>
        <w:rPr>
          <w:rFonts w:asciiTheme="minorHAnsi" w:hAnsiTheme="minorHAnsi" w:cstheme="minorHAnsi"/>
          <w:sz w:val="20"/>
          <w:szCs w:val="20"/>
          <w:lang w:val="en-US"/>
        </w:rPr>
      </w:pPr>
      <w:r w:rsidRPr="0098314F">
        <w:rPr>
          <w:rFonts w:asciiTheme="minorHAnsi" w:hAnsiTheme="minorHAnsi" w:cstheme="minorHAnsi"/>
          <w:sz w:val="20"/>
          <w:szCs w:val="20"/>
          <w:u w:val="single"/>
          <w:lang w:val="en-US"/>
        </w:rPr>
        <w:t>Limitations of this approach</w:t>
      </w:r>
      <w:r>
        <w:rPr>
          <w:rFonts w:asciiTheme="minorHAnsi" w:hAnsiTheme="minorHAnsi" w:cstheme="minorHAnsi"/>
          <w:sz w:val="20"/>
          <w:szCs w:val="20"/>
          <w:lang w:val="en-US"/>
        </w:rPr>
        <w:t>:</w:t>
      </w:r>
    </w:p>
    <w:p w14:paraId="1F8B17A4" w14:textId="7FC8A00A" w:rsidR="00A3761F" w:rsidRPr="00A3761F" w:rsidRDefault="00A3761F" w:rsidP="00A3761F">
      <w:pPr>
        <w:spacing w:line="360" w:lineRule="auto"/>
        <w:ind w:firstLine="720"/>
        <w:jc w:val="both"/>
        <w:rPr>
          <w:rFonts w:asciiTheme="minorHAnsi" w:hAnsiTheme="minorHAnsi" w:cstheme="minorHAnsi"/>
          <w:sz w:val="20"/>
          <w:szCs w:val="20"/>
          <w:lang w:val="en-US"/>
        </w:rPr>
        <w:sectPr w:rsidR="00A3761F" w:rsidRPr="00A3761F" w:rsidSect="008F25A1">
          <w:pgSz w:w="11906" w:h="16838"/>
          <w:pgMar w:top="720" w:right="720" w:bottom="720" w:left="720" w:header="708" w:footer="708" w:gutter="0"/>
          <w:cols w:space="708"/>
          <w:docGrid w:linePitch="360"/>
        </w:sectPr>
      </w:pPr>
      <w:r>
        <w:rPr>
          <w:rFonts w:asciiTheme="minorHAnsi" w:hAnsiTheme="minorHAnsi" w:cstheme="minorHAnsi"/>
          <w:sz w:val="20"/>
          <w:szCs w:val="20"/>
          <w:lang w:val="en-US"/>
        </w:rPr>
        <w:t>The limitations of utilizing such an approach should also be</w:t>
      </w:r>
      <w:r w:rsidR="0098314F">
        <w:rPr>
          <w:rFonts w:asciiTheme="minorHAnsi" w:hAnsiTheme="minorHAnsi" w:cstheme="minorHAnsi"/>
          <w:sz w:val="20"/>
          <w:szCs w:val="20"/>
          <w:lang w:val="en-US"/>
        </w:rPr>
        <w:t xml:space="preserve"> clearly</w:t>
      </w:r>
      <w:r>
        <w:rPr>
          <w:rFonts w:asciiTheme="minorHAnsi" w:hAnsiTheme="minorHAnsi" w:cstheme="minorHAnsi"/>
          <w:sz w:val="20"/>
          <w:szCs w:val="20"/>
          <w:lang w:val="en-US"/>
        </w:rPr>
        <w:t xml:space="preserve"> </w:t>
      </w:r>
      <w:r w:rsidR="003A7265">
        <w:rPr>
          <w:rFonts w:asciiTheme="minorHAnsi" w:hAnsiTheme="minorHAnsi" w:cstheme="minorHAnsi"/>
          <w:sz w:val="20"/>
          <w:szCs w:val="20"/>
          <w:lang w:val="en-US"/>
        </w:rPr>
        <w:t>stated</w:t>
      </w:r>
      <w:r>
        <w:rPr>
          <w:rFonts w:asciiTheme="minorHAnsi" w:hAnsiTheme="minorHAnsi" w:cstheme="minorHAnsi"/>
          <w:sz w:val="20"/>
          <w:szCs w:val="20"/>
          <w:lang w:val="en-US"/>
        </w:rPr>
        <w:t>. This medication load technique can allow res</w:t>
      </w:r>
      <w:r w:rsidR="0098314F">
        <w:rPr>
          <w:rFonts w:asciiTheme="minorHAnsi" w:hAnsiTheme="minorHAnsi" w:cstheme="minorHAnsi"/>
          <w:sz w:val="20"/>
          <w:szCs w:val="20"/>
          <w:lang w:val="en-US"/>
        </w:rPr>
        <w:t xml:space="preserve">earchers to investigate the broad influence that psychiatric medications might have on influencing various data, but it would not allow for the specific claim “medication had no effect”. This analysis is proposed as an imperfect control and additional analysis tool, which can be utilized when there is no other feasible investigation possible. </w:t>
      </w:r>
      <w:r w:rsidR="001D372B">
        <w:rPr>
          <w:rFonts w:asciiTheme="minorHAnsi" w:hAnsiTheme="minorHAnsi" w:cstheme="minorHAnsi"/>
          <w:sz w:val="20"/>
          <w:szCs w:val="20"/>
          <w:lang w:val="en-US"/>
        </w:rPr>
        <w:t xml:space="preserve"> </w:t>
      </w:r>
      <w:bookmarkStart w:id="3" w:name="_GoBack"/>
      <w:bookmarkEnd w:id="3"/>
    </w:p>
    <w:p w14:paraId="25CF045F" w14:textId="42A52BBC" w:rsidR="003B7983" w:rsidRDefault="003B7983" w:rsidP="00372B16">
      <w:pPr>
        <w:spacing w:line="360" w:lineRule="auto"/>
        <w:ind w:firstLine="720"/>
        <w:jc w:val="both"/>
        <w:rPr>
          <w:rFonts w:asciiTheme="minorHAnsi" w:hAnsiTheme="minorHAnsi" w:cstheme="minorHAnsi"/>
          <w:sz w:val="20"/>
          <w:szCs w:val="20"/>
          <w:lang w:val="en-US"/>
        </w:rPr>
      </w:pPr>
    </w:p>
    <w:p w14:paraId="2F56C117" w14:textId="77777777" w:rsidR="00DE1643" w:rsidRPr="00372B16" w:rsidRDefault="00DE1643" w:rsidP="00372B16">
      <w:pPr>
        <w:spacing w:line="360" w:lineRule="auto"/>
        <w:ind w:firstLine="720"/>
        <w:jc w:val="both"/>
        <w:rPr>
          <w:rFonts w:asciiTheme="minorHAnsi" w:hAnsiTheme="minorHAnsi" w:cstheme="minorHAnsi"/>
          <w:sz w:val="20"/>
          <w:szCs w:val="20"/>
          <w:lang w:val="en-US"/>
        </w:rPr>
      </w:pPr>
    </w:p>
    <w:p w14:paraId="0EAC59D4" w14:textId="77777777" w:rsidR="00DE1643" w:rsidRPr="0098717E" w:rsidRDefault="00DE1643">
      <w:pPr>
        <w:spacing w:after="160" w:line="259" w:lineRule="auto"/>
        <w:rPr>
          <w:rFonts w:ascii="Calibri" w:hAnsi="Calibri" w:cs="Calibri"/>
          <w:lang w:val="en-US"/>
        </w:rPr>
      </w:pPr>
    </w:p>
    <w:tbl>
      <w:tblPr>
        <w:tblW w:w="8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3841"/>
        <w:gridCol w:w="1226"/>
        <w:gridCol w:w="1425"/>
        <w:gridCol w:w="1595"/>
      </w:tblGrid>
      <w:tr w:rsidR="00DE1643" w:rsidRPr="0006318C" w14:paraId="65E6B2FC" w14:textId="77777777" w:rsidTr="00387AD9">
        <w:trPr>
          <w:trHeight w:val="292"/>
        </w:trPr>
        <w:tc>
          <w:tcPr>
            <w:tcW w:w="8791" w:type="dxa"/>
            <w:gridSpan w:val="5"/>
            <w:shd w:val="clear" w:color="auto" w:fill="auto"/>
            <w:noWrap/>
            <w:vAlign w:val="bottom"/>
          </w:tcPr>
          <w:p w14:paraId="3C74BF96" w14:textId="43EC4EDB" w:rsidR="00DE1643" w:rsidRPr="0098717E" w:rsidRDefault="00DE1643" w:rsidP="00DE1643">
            <w:pPr>
              <w:rPr>
                <w:rFonts w:ascii="Calibri" w:hAnsi="Calibri" w:cs="Calibri"/>
                <w:color w:val="000000"/>
                <w:sz w:val="20"/>
                <w:szCs w:val="20"/>
                <w:lang w:val="en-US" w:eastAsia="en-CA"/>
              </w:rPr>
            </w:pPr>
            <w:r w:rsidRPr="0098717E">
              <w:rPr>
                <w:rFonts w:ascii="Calibri" w:hAnsi="Calibri" w:cs="Calibri"/>
                <w:b/>
                <w:bCs/>
                <w:color w:val="000000"/>
                <w:sz w:val="20"/>
                <w:szCs w:val="20"/>
                <w:lang w:val="en-US" w:eastAsia="en-CA"/>
              </w:rPr>
              <w:t>Table 1:</w:t>
            </w:r>
            <w:r w:rsidRPr="0098717E">
              <w:rPr>
                <w:rFonts w:ascii="Calibri" w:hAnsi="Calibri" w:cs="Calibri"/>
                <w:color w:val="000000"/>
                <w:sz w:val="20"/>
                <w:szCs w:val="20"/>
                <w:lang w:val="en-US" w:eastAsia="en-CA"/>
              </w:rPr>
              <w:t xml:space="preserve"> Popular Medications and their relevant dosage ranges according to each </w:t>
            </w:r>
            <w:r w:rsidR="00E50588">
              <w:rPr>
                <w:rFonts w:ascii="Calibri" w:hAnsi="Calibri" w:cs="Calibri"/>
                <w:color w:val="000000"/>
                <w:sz w:val="20"/>
                <w:szCs w:val="20"/>
                <w:lang w:val="en-US" w:eastAsia="en-CA"/>
              </w:rPr>
              <w:t xml:space="preserve">level of </w:t>
            </w:r>
            <w:r w:rsidRPr="0098717E">
              <w:rPr>
                <w:rFonts w:ascii="Calibri" w:hAnsi="Calibri" w:cs="Calibri"/>
                <w:color w:val="000000"/>
                <w:sz w:val="20"/>
                <w:szCs w:val="20"/>
                <w:lang w:val="en-US" w:eastAsia="en-CA"/>
              </w:rPr>
              <w:t>medication load</w:t>
            </w:r>
            <w:r w:rsidR="00EC7D39">
              <w:rPr>
                <w:rFonts w:ascii="Calibri" w:hAnsi="Calibri" w:cs="Calibri"/>
                <w:color w:val="000000"/>
                <w:sz w:val="20"/>
                <w:szCs w:val="20"/>
                <w:lang w:val="en-US" w:eastAsia="en-CA"/>
              </w:rPr>
              <w:t xml:space="preserve"> (i.e. absent, low, and high)</w:t>
            </w:r>
          </w:p>
        </w:tc>
      </w:tr>
      <w:tr w:rsidR="00E50588" w:rsidRPr="0098717E" w14:paraId="676C518B" w14:textId="77777777" w:rsidTr="00921407">
        <w:trPr>
          <w:trHeight w:val="292"/>
        </w:trPr>
        <w:tc>
          <w:tcPr>
            <w:tcW w:w="704" w:type="dxa"/>
            <w:vMerge w:val="restart"/>
            <w:shd w:val="clear" w:color="auto" w:fill="auto"/>
            <w:noWrap/>
            <w:vAlign w:val="bottom"/>
            <w:hideMark/>
          </w:tcPr>
          <w:p w14:paraId="6C30F21F" w14:textId="77777777" w:rsidR="00E50588" w:rsidRPr="0098717E" w:rsidRDefault="00E50588" w:rsidP="00DE1643">
            <w:pPr>
              <w:jc w:val="center"/>
              <w:rPr>
                <w:rFonts w:ascii="Calibri" w:hAnsi="Calibri" w:cs="Calibri"/>
                <w:color w:val="000000"/>
                <w:lang w:val="en-US" w:eastAsia="en-CA"/>
              </w:rPr>
            </w:pPr>
          </w:p>
        </w:tc>
        <w:tc>
          <w:tcPr>
            <w:tcW w:w="3841" w:type="dxa"/>
            <w:tcBorders>
              <w:right w:val="single" w:sz="12" w:space="0" w:color="auto"/>
            </w:tcBorders>
            <w:shd w:val="clear" w:color="auto" w:fill="auto"/>
            <w:noWrap/>
            <w:vAlign w:val="bottom"/>
            <w:hideMark/>
          </w:tcPr>
          <w:p w14:paraId="2CC57697" w14:textId="4CF883AF" w:rsidR="00E50588" w:rsidRPr="00E50588" w:rsidRDefault="00E50588" w:rsidP="00DE1643">
            <w:pPr>
              <w:jc w:val="center"/>
              <w:rPr>
                <w:rFonts w:asciiTheme="minorHAnsi" w:hAnsiTheme="minorHAnsi" w:cstheme="minorHAnsi"/>
                <w:b/>
                <w:sz w:val="20"/>
                <w:szCs w:val="20"/>
                <w:lang w:val="en-US" w:eastAsia="en-CA"/>
              </w:rPr>
            </w:pPr>
            <w:r w:rsidRPr="00E50588">
              <w:rPr>
                <w:rFonts w:asciiTheme="minorHAnsi" w:hAnsiTheme="minorHAnsi" w:cstheme="minorHAnsi"/>
                <w:b/>
                <w:sz w:val="20"/>
                <w:szCs w:val="20"/>
                <w:lang w:val="en-US" w:eastAsia="en-CA"/>
              </w:rPr>
              <w:t>Medication Load Level:</w:t>
            </w:r>
          </w:p>
        </w:tc>
        <w:tc>
          <w:tcPr>
            <w:tcW w:w="1226" w:type="dxa"/>
            <w:tcBorders>
              <w:left w:val="single" w:sz="12" w:space="0" w:color="auto"/>
              <w:right w:val="single" w:sz="12" w:space="0" w:color="auto"/>
            </w:tcBorders>
            <w:shd w:val="clear" w:color="auto" w:fill="auto"/>
            <w:noWrap/>
            <w:vAlign w:val="bottom"/>
            <w:hideMark/>
          </w:tcPr>
          <w:p w14:paraId="2E6344EA" w14:textId="77777777" w:rsidR="00E50588" w:rsidRPr="00E50588" w:rsidRDefault="00E50588" w:rsidP="00DE1643">
            <w:pPr>
              <w:jc w:val="center"/>
              <w:rPr>
                <w:rFonts w:asciiTheme="minorHAnsi" w:hAnsiTheme="minorHAnsi" w:cstheme="minorHAnsi"/>
                <w:b/>
                <w:color w:val="000000"/>
                <w:sz w:val="20"/>
                <w:szCs w:val="20"/>
                <w:lang w:val="en-US" w:eastAsia="en-CA"/>
              </w:rPr>
            </w:pPr>
            <w:r w:rsidRPr="00E50588">
              <w:rPr>
                <w:rFonts w:asciiTheme="minorHAnsi" w:hAnsiTheme="minorHAnsi" w:cstheme="minorHAnsi"/>
                <w:b/>
                <w:color w:val="000000"/>
                <w:sz w:val="20"/>
                <w:szCs w:val="20"/>
                <w:lang w:val="en-US" w:eastAsia="en-CA"/>
              </w:rPr>
              <w:t>absent (0)</w:t>
            </w:r>
          </w:p>
        </w:tc>
        <w:tc>
          <w:tcPr>
            <w:tcW w:w="1425" w:type="dxa"/>
            <w:tcBorders>
              <w:left w:val="single" w:sz="12" w:space="0" w:color="auto"/>
              <w:right w:val="single" w:sz="12" w:space="0" w:color="auto"/>
            </w:tcBorders>
            <w:shd w:val="clear" w:color="auto" w:fill="auto"/>
            <w:noWrap/>
            <w:vAlign w:val="bottom"/>
            <w:hideMark/>
          </w:tcPr>
          <w:p w14:paraId="3157987B" w14:textId="77777777" w:rsidR="00E50588" w:rsidRPr="00E50588" w:rsidRDefault="00E50588" w:rsidP="00DE1643">
            <w:pPr>
              <w:jc w:val="center"/>
              <w:rPr>
                <w:rFonts w:asciiTheme="minorHAnsi" w:hAnsiTheme="minorHAnsi" w:cstheme="minorHAnsi"/>
                <w:b/>
                <w:color w:val="000000"/>
                <w:sz w:val="20"/>
                <w:szCs w:val="20"/>
                <w:lang w:val="en-US" w:eastAsia="en-CA"/>
              </w:rPr>
            </w:pPr>
            <w:r w:rsidRPr="00E50588">
              <w:rPr>
                <w:rFonts w:asciiTheme="minorHAnsi" w:hAnsiTheme="minorHAnsi" w:cstheme="minorHAnsi"/>
                <w:b/>
                <w:color w:val="000000"/>
                <w:sz w:val="20"/>
                <w:szCs w:val="20"/>
                <w:lang w:val="en-US" w:eastAsia="en-CA"/>
              </w:rPr>
              <w:t>low (1)</w:t>
            </w:r>
          </w:p>
        </w:tc>
        <w:tc>
          <w:tcPr>
            <w:tcW w:w="1595" w:type="dxa"/>
            <w:tcBorders>
              <w:left w:val="single" w:sz="12" w:space="0" w:color="auto"/>
            </w:tcBorders>
            <w:shd w:val="clear" w:color="auto" w:fill="auto"/>
            <w:noWrap/>
            <w:vAlign w:val="bottom"/>
            <w:hideMark/>
          </w:tcPr>
          <w:p w14:paraId="08816780" w14:textId="77777777" w:rsidR="00E50588" w:rsidRPr="00E50588" w:rsidRDefault="00E50588" w:rsidP="00DE1643">
            <w:pPr>
              <w:jc w:val="center"/>
              <w:rPr>
                <w:rFonts w:asciiTheme="minorHAnsi" w:hAnsiTheme="minorHAnsi" w:cstheme="minorHAnsi"/>
                <w:b/>
                <w:color w:val="000000"/>
                <w:sz w:val="20"/>
                <w:szCs w:val="20"/>
                <w:lang w:val="en-US" w:eastAsia="en-CA"/>
              </w:rPr>
            </w:pPr>
            <w:r w:rsidRPr="00E50588">
              <w:rPr>
                <w:rFonts w:asciiTheme="minorHAnsi" w:hAnsiTheme="minorHAnsi" w:cstheme="minorHAnsi"/>
                <w:b/>
                <w:color w:val="000000"/>
                <w:sz w:val="20"/>
                <w:szCs w:val="20"/>
                <w:lang w:val="en-US" w:eastAsia="en-CA"/>
              </w:rPr>
              <w:t>high (2)</w:t>
            </w:r>
          </w:p>
        </w:tc>
      </w:tr>
      <w:tr w:rsidR="00E50588" w:rsidRPr="0006318C" w14:paraId="2E50E5E8" w14:textId="77777777" w:rsidTr="00921407">
        <w:trPr>
          <w:trHeight w:val="292"/>
        </w:trPr>
        <w:tc>
          <w:tcPr>
            <w:tcW w:w="704" w:type="dxa"/>
            <w:vMerge/>
            <w:shd w:val="clear" w:color="auto" w:fill="auto"/>
            <w:noWrap/>
            <w:vAlign w:val="bottom"/>
          </w:tcPr>
          <w:p w14:paraId="5C7816E1" w14:textId="77777777" w:rsidR="00E50588" w:rsidRPr="0098717E" w:rsidRDefault="00E50588" w:rsidP="00DE1643">
            <w:pPr>
              <w:jc w:val="center"/>
              <w:rPr>
                <w:rFonts w:ascii="Calibri" w:hAnsi="Calibri" w:cs="Calibri"/>
                <w:color w:val="000000"/>
                <w:lang w:val="en-US" w:eastAsia="en-CA"/>
              </w:rPr>
            </w:pPr>
          </w:p>
        </w:tc>
        <w:tc>
          <w:tcPr>
            <w:tcW w:w="3841" w:type="dxa"/>
            <w:tcBorders>
              <w:right w:val="single" w:sz="12" w:space="0" w:color="auto"/>
            </w:tcBorders>
            <w:shd w:val="clear" w:color="auto" w:fill="auto"/>
            <w:noWrap/>
            <w:vAlign w:val="bottom"/>
          </w:tcPr>
          <w:p w14:paraId="06129114" w14:textId="77777777" w:rsidR="00E50588" w:rsidRPr="0098717E" w:rsidRDefault="00E50588" w:rsidP="00DE1643">
            <w:pPr>
              <w:jc w:val="center"/>
              <w:rPr>
                <w:rFonts w:asciiTheme="minorHAnsi" w:hAnsiTheme="minorHAnsi" w:cstheme="minorHAnsi"/>
                <w:sz w:val="20"/>
                <w:szCs w:val="20"/>
                <w:lang w:val="en-US" w:eastAsia="en-CA"/>
              </w:rPr>
            </w:pPr>
          </w:p>
        </w:tc>
        <w:tc>
          <w:tcPr>
            <w:tcW w:w="4246" w:type="dxa"/>
            <w:gridSpan w:val="3"/>
            <w:tcBorders>
              <w:left w:val="single" w:sz="12" w:space="0" w:color="auto"/>
            </w:tcBorders>
            <w:shd w:val="clear" w:color="auto" w:fill="auto"/>
            <w:noWrap/>
            <w:vAlign w:val="bottom"/>
          </w:tcPr>
          <w:p w14:paraId="7DA7ED8B" w14:textId="32908953" w:rsidR="00E50588" w:rsidRPr="0098717E" w:rsidRDefault="00E50588" w:rsidP="00DE1643">
            <w:pPr>
              <w:jc w:val="center"/>
              <w:rPr>
                <w:rFonts w:asciiTheme="minorHAnsi" w:hAnsiTheme="minorHAnsi" w:cstheme="minorHAnsi"/>
                <w:color w:val="000000"/>
                <w:sz w:val="20"/>
                <w:szCs w:val="20"/>
                <w:lang w:val="en-US" w:eastAsia="en-CA"/>
              </w:rPr>
            </w:pPr>
            <w:r>
              <w:rPr>
                <w:rFonts w:asciiTheme="minorHAnsi" w:hAnsiTheme="minorHAnsi" w:cstheme="minorHAnsi"/>
                <w:color w:val="000000"/>
                <w:sz w:val="20"/>
                <w:szCs w:val="20"/>
                <w:lang w:val="en-US" w:eastAsia="en-CA"/>
              </w:rPr>
              <w:t xml:space="preserve">Corresponding </w:t>
            </w:r>
            <w:r w:rsidRPr="0098717E">
              <w:rPr>
                <w:rFonts w:asciiTheme="minorHAnsi" w:hAnsiTheme="minorHAnsi" w:cstheme="minorHAnsi"/>
                <w:color w:val="000000"/>
                <w:sz w:val="20"/>
                <w:szCs w:val="20"/>
                <w:lang w:val="en-US" w:eastAsia="en-CA"/>
              </w:rPr>
              <w:t>Dosage Range</w:t>
            </w:r>
            <w:r w:rsidR="000144AD">
              <w:rPr>
                <w:rFonts w:asciiTheme="minorHAnsi" w:hAnsiTheme="minorHAnsi" w:cstheme="minorHAnsi"/>
                <w:color w:val="000000"/>
                <w:sz w:val="20"/>
                <w:szCs w:val="20"/>
                <w:lang w:val="en-US" w:eastAsia="en-CA"/>
              </w:rPr>
              <w:t xml:space="preserve"> (mg/day)</w:t>
            </w:r>
          </w:p>
        </w:tc>
      </w:tr>
      <w:tr w:rsidR="00DE1643" w:rsidRPr="0098717E" w14:paraId="4DC57615" w14:textId="77777777" w:rsidTr="00921407">
        <w:trPr>
          <w:trHeight w:val="292"/>
        </w:trPr>
        <w:tc>
          <w:tcPr>
            <w:tcW w:w="704" w:type="dxa"/>
            <w:vMerge w:val="restart"/>
            <w:shd w:val="clear" w:color="auto" w:fill="auto"/>
            <w:noWrap/>
            <w:textDirection w:val="btLr"/>
            <w:vAlign w:val="center"/>
            <w:hideMark/>
          </w:tcPr>
          <w:p w14:paraId="41813C9A" w14:textId="77777777" w:rsidR="00DE1643" w:rsidRPr="00742442" w:rsidRDefault="00DE1643" w:rsidP="00921407">
            <w:pPr>
              <w:ind w:left="113" w:right="113"/>
              <w:jc w:val="center"/>
              <w:rPr>
                <w:rFonts w:ascii="Calibri" w:hAnsi="Calibri" w:cs="Calibri"/>
                <w:b/>
                <w:color w:val="000000"/>
                <w:sz w:val="20"/>
                <w:szCs w:val="20"/>
                <w:lang w:val="en-US" w:eastAsia="en-CA"/>
              </w:rPr>
            </w:pPr>
            <w:r w:rsidRPr="00742442">
              <w:rPr>
                <w:rFonts w:ascii="Calibri" w:hAnsi="Calibri" w:cs="Calibri"/>
                <w:b/>
                <w:color w:val="000000"/>
                <w:sz w:val="20"/>
                <w:szCs w:val="20"/>
                <w:lang w:val="en-US" w:eastAsia="en-CA"/>
              </w:rPr>
              <w:t>Antidepressants</w:t>
            </w:r>
          </w:p>
        </w:tc>
        <w:tc>
          <w:tcPr>
            <w:tcW w:w="3841" w:type="dxa"/>
            <w:tcBorders>
              <w:right w:val="single" w:sz="12" w:space="0" w:color="auto"/>
            </w:tcBorders>
            <w:shd w:val="clear" w:color="auto" w:fill="auto"/>
            <w:noWrap/>
            <w:hideMark/>
          </w:tcPr>
          <w:p w14:paraId="15FECA7F" w14:textId="108EC588" w:rsidR="00DE1643" w:rsidRPr="0098717E" w:rsidRDefault="00DE1643" w:rsidP="0098717E">
            <w:pPr>
              <w:rPr>
                <w:rFonts w:asciiTheme="minorHAnsi" w:hAnsiTheme="minorHAnsi" w:cstheme="minorHAnsi"/>
                <w:color w:val="000000"/>
                <w:sz w:val="20"/>
                <w:szCs w:val="20"/>
                <w:lang w:val="en-US" w:eastAsia="en-CA"/>
              </w:rPr>
            </w:pPr>
            <w:r w:rsidRPr="0098717E">
              <w:rPr>
                <w:rFonts w:asciiTheme="minorHAnsi" w:hAnsiTheme="minorHAnsi" w:cstheme="minorHAnsi"/>
                <w:color w:val="000000"/>
                <w:sz w:val="20"/>
                <w:szCs w:val="20"/>
                <w:lang w:val="en-US" w:eastAsia="en-CA"/>
              </w:rPr>
              <w:t>Citalopram</w:t>
            </w:r>
            <w:r w:rsidR="001C7572" w:rsidRPr="0098717E">
              <w:rPr>
                <w:rFonts w:asciiTheme="minorHAnsi" w:hAnsiTheme="minorHAnsi" w:cstheme="minorHAnsi"/>
                <w:color w:val="000000"/>
                <w:sz w:val="20"/>
                <w:szCs w:val="20"/>
                <w:lang w:val="en-US" w:eastAsia="en-CA"/>
              </w:rPr>
              <w:t xml:space="preserve">, Escitalopram, Fluoxetine, </w:t>
            </w:r>
            <w:r w:rsidR="000660B4" w:rsidRPr="0098717E">
              <w:rPr>
                <w:rFonts w:asciiTheme="minorHAnsi" w:hAnsiTheme="minorHAnsi" w:cstheme="minorHAnsi"/>
                <w:color w:val="000000"/>
                <w:sz w:val="20"/>
                <w:szCs w:val="20"/>
                <w:lang w:val="en-US" w:eastAsia="en-CA"/>
              </w:rPr>
              <w:t>Paroxetine</w:t>
            </w:r>
          </w:p>
        </w:tc>
        <w:tc>
          <w:tcPr>
            <w:tcW w:w="1226" w:type="dxa"/>
            <w:tcBorders>
              <w:left w:val="single" w:sz="12" w:space="0" w:color="auto"/>
              <w:right w:val="single" w:sz="12" w:space="0" w:color="auto"/>
            </w:tcBorders>
            <w:shd w:val="clear" w:color="auto" w:fill="auto"/>
            <w:noWrap/>
            <w:hideMark/>
          </w:tcPr>
          <w:p w14:paraId="6AAB28D9" w14:textId="77777777" w:rsidR="00DE1643" w:rsidRPr="0098717E" w:rsidRDefault="00DE1643" w:rsidP="0098717E">
            <w:pPr>
              <w:jc w:val="right"/>
              <w:rPr>
                <w:rFonts w:asciiTheme="minorHAnsi" w:hAnsiTheme="minorHAnsi" w:cstheme="minorHAnsi"/>
                <w:color w:val="000000"/>
                <w:sz w:val="20"/>
                <w:szCs w:val="20"/>
                <w:lang w:val="en-US" w:eastAsia="en-CA"/>
              </w:rPr>
            </w:pPr>
            <w:r w:rsidRPr="0098717E">
              <w:rPr>
                <w:rFonts w:asciiTheme="minorHAnsi" w:hAnsiTheme="minorHAnsi" w:cstheme="minorHAnsi"/>
                <w:color w:val="000000"/>
                <w:sz w:val="20"/>
                <w:szCs w:val="20"/>
                <w:lang w:val="en-US" w:eastAsia="en-CA"/>
              </w:rPr>
              <w:t>0</w:t>
            </w:r>
          </w:p>
        </w:tc>
        <w:tc>
          <w:tcPr>
            <w:tcW w:w="1425" w:type="dxa"/>
            <w:tcBorders>
              <w:left w:val="single" w:sz="12" w:space="0" w:color="auto"/>
              <w:right w:val="single" w:sz="12" w:space="0" w:color="auto"/>
            </w:tcBorders>
            <w:shd w:val="clear" w:color="auto" w:fill="auto"/>
            <w:noWrap/>
            <w:hideMark/>
          </w:tcPr>
          <w:p w14:paraId="434B0E4F" w14:textId="0C72A372" w:rsidR="00DE1643" w:rsidRPr="0098717E" w:rsidRDefault="00DE1643" w:rsidP="0098717E">
            <w:pPr>
              <w:jc w:val="right"/>
              <w:rPr>
                <w:rFonts w:asciiTheme="minorHAnsi" w:hAnsiTheme="minorHAnsi" w:cstheme="minorHAnsi"/>
                <w:color w:val="000000"/>
                <w:sz w:val="20"/>
                <w:szCs w:val="20"/>
                <w:lang w:val="en-US" w:eastAsia="en-CA"/>
              </w:rPr>
            </w:pPr>
            <w:r w:rsidRPr="0098717E">
              <w:rPr>
                <w:rFonts w:asciiTheme="minorHAnsi" w:hAnsiTheme="minorHAnsi" w:cstheme="minorHAnsi"/>
                <w:color w:val="000000"/>
                <w:sz w:val="20"/>
                <w:szCs w:val="20"/>
                <w:lang w:val="en-US" w:eastAsia="en-CA"/>
              </w:rPr>
              <w:t>1-</w:t>
            </w:r>
            <w:r w:rsidR="001C7572" w:rsidRPr="0098717E">
              <w:rPr>
                <w:rFonts w:asciiTheme="minorHAnsi" w:hAnsiTheme="minorHAnsi" w:cstheme="minorHAnsi"/>
                <w:color w:val="000000"/>
                <w:sz w:val="20"/>
                <w:szCs w:val="20"/>
                <w:lang w:val="en-US" w:eastAsia="en-CA"/>
              </w:rPr>
              <w:t xml:space="preserve">19 </w:t>
            </w:r>
          </w:p>
        </w:tc>
        <w:tc>
          <w:tcPr>
            <w:tcW w:w="1595" w:type="dxa"/>
            <w:tcBorders>
              <w:left w:val="single" w:sz="12" w:space="0" w:color="auto"/>
            </w:tcBorders>
            <w:shd w:val="clear" w:color="auto" w:fill="auto"/>
            <w:noWrap/>
            <w:hideMark/>
          </w:tcPr>
          <w:p w14:paraId="3170C1BE" w14:textId="373C83C2" w:rsidR="00DE1643" w:rsidRPr="0098717E" w:rsidRDefault="0042395F" w:rsidP="0098717E">
            <w:pPr>
              <w:pStyle w:val="ListParagraph"/>
              <w:spacing w:after="0" w:line="240" w:lineRule="auto"/>
              <w:ind w:left="0"/>
              <w:jc w:val="right"/>
              <w:rPr>
                <w:rFonts w:cstheme="minorHAnsi"/>
                <w:color w:val="000000"/>
                <w:sz w:val="20"/>
                <w:szCs w:val="20"/>
                <w:lang w:eastAsia="en-CA"/>
              </w:rPr>
            </w:pPr>
            <w:r w:rsidRPr="0098717E">
              <w:rPr>
                <w:rFonts w:eastAsia="Times New Roman" w:cstheme="minorHAnsi"/>
                <w:color w:val="000000"/>
                <w:sz w:val="20"/>
                <w:szCs w:val="20"/>
                <w:lang w:eastAsia="en-CA"/>
              </w:rPr>
              <w:sym w:font="Symbol" w:char="F0B3"/>
            </w:r>
            <w:r w:rsidR="00DE1643" w:rsidRPr="0098717E">
              <w:rPr>
                <w:rFonts w:eastAsia="Times New Roman" w:cstheme="minorHAnsi"/>
                <w:color w:val="000000"/>
                <w:sz w:val="20"/>
                <w:szCs w:val="20"/>
                <w:lang w:eastAsia="en-CA"/>
              </w:rPr>
              <w:t>2</w:t>
            </w:r>
            <w:r w:rsidR="001C7572" w:rsidRPr="0098717E">
              <w:rPr>
                <w:rFonts w:eastAsia="Times New Roman" w:cstheme="minorHAnsi"/>
                <w:color w:val="000000"/>
                <w:sz w:val="20"/>
                <w:szCs w:val="20"/>
                <w:lang w:eastAsia="en-CA"/>
              </w:rPr>
              <w:t>0</w:t>
            </w:r>
            <w:r w:rsidR="0098717E">
              <w:rPr>
                <w:rFonts w:eastAsia="Times New Roman" w:cstheme="minorHAnsi"/>
                <w:color w:val="000000"/>
                <w:sz w:val="20"/>
                <w:szCs w:val="20"/>
                <w:lang w:eastAsia="en-CA"/>
              </w:rPr>
              <w:t> </w:t>
            </w:r>
          </w:p>
        </w:tc>
      </w:tr>
      <w:tr w:rsidR="00DE1643" w:rsidRPr="0098717E" w14:paraId="5089D1A6" w14:textId="77777777" w:rsidTr="00921407">
        <w:trPr>
          <w:trHeight w:val="292"/>
        </w:trPr>
        <w:tc>
          <w:tcPr>
            <w:tcW w:w="704" w:type="dxa"/>
            <w:vMerge/>
            <w:textDirection w:val="btLr"/>
            <w:vAlign w:val="center"/>
            <w:hideMark/>
          </w:tcPr>
          <w:p w14:paraId="2B4FD839" w14:textId="77777777" w:rsidR="00DE1643" w:rsidRPr="00742442" w:rsidRDefault="00DE1643" w:rsidP="00921407">
            <w:pPr>
              <w:ind w:left="113" w:right="113"/>
              <w:rPr>
                <w:rFonts w:ascii="Calibri" w:hAnsi="Calibri" w:cs="Calibri"/>
                <w:b/>
                <w:color w:val="000000"/>
                <w:sz w:val="20"/>
                <w:szCs w:val="20"/>
                <w:lang w:val="en-US" w:eastAsia="en-CA"/>
              </w:rPr>
            </w:pPr>
          </w:p>
        </w:tc>
        <w:tc>
          <w:tcPr>
            <w:tcW w:w="3841" w:type="dxa"/>
            <w:tcBorders>
              <w:right w:val="single" w:sz="12" w:space="0" w:color="auto"/>
            </w:tcBorders>
            <w:shd w:val="clear" w:color="auto" w:fill="auto"/>
            <w:noWrap/>
            <w:hideMark/>
          </w:tcPr>
          <w:p w14:paraId="3126DF52" w14:textId="6C717F92" w:rsidR="00DE1643" w:rsidRPr="0098717E" w:rsidRDefault="001C7572" w:rsidP="0098717E">
            <w:pPr>
              <w:rPr>
                <w:rFonts w:asciiTheme="minorHAnsi" w:hAnsiTheme="minorHAnsi" w:cstheme="minorHAnsi"/>
                <w:color w:val="000000"/>
                <w:sz w:val="20"/>
                <w:szCs w:val="20"/>
                <w:lang w:val="en-US" w:eastAsia="en-CA"/>
              </w:rPr>
            </w:pPr>
            <w:r w:rsidRPr="0098717E">
              <w:rPr>
                <w:rFonts w:asciiTheme="minorHAnsi" w:hAnsiTheme="minorHAnsi" w:cstheme="minorHAnsi"/>
                <w:color w:val="000000"/>
                <w:sz w:val="20"/>
                <w:szCs w:val="20"/>
                <w:lang w:val="en-US" w:eastAsia="en-CA"/>
              </w:rPr>
              <w:t>﻿Sertraline</w:t>
            </w:r>
            <w:r w:rsidRPr="0098717E" w:rsidDel="001C7572">
              <w:rPr>
                <w:rFonts w:asciiTheme="minorHAnsi" w:hAnsiTheme="minorHAnsi" w:cstheme="minorHAnsi"/>
                <w:color w:val="000000"/>
                <w:sz w:val="20"/>
                <w:szCs w:val="20"/>
                <w:lang w:val="en-US" w:eastAsia="en-CA"/>
              </w:rPr>
              <w:t xml:space="preserve"> </w:t>
            </w:r>
          </w:p>
        </w:tc>
        <w:tc>
          <w:tcPr>
            <w:tcW w:w="1226" w:type="dxa"/>
            <w:tcBorders>
              <w:left w:val="single" w:sz="12" w:space="0" w:color="auto"/>
              <w:right w:val="single" w:sz="12" w:space="0" w:color="auto"/>
            </w:tcBorders>
            <w:shd w:val="clear" w:color="auto" w:fill="auto"/>
            <w:noWrap/>
            <w:hideMark/>
          </w:tcPr>
          <w:p w14:paraId="3B5213BF" w14:textId="77777777" w:rsidR="00DE1643" w:rsidRPr="0098717E" w:rsidRDefault="00DE1643" w:rsidP="0098717E">
            <w:pPr>
              <w:jc w:val="right"/>
              <w:rPr>
                <w:rFonts w:asciiTheme="minorHAnsi" w:hAnsiTheme="minorHAnsi" w:cstheme="minorHAnsi"/>
                <w:color w:val="000000"/>
                <w:sz w:val="20"/>
                <w:szCs w:val="20"/>
                <w:lang w:val="en-US" w:eastAsia="en-CA"/>
              </w:rPr>
            </w:pPr>
            <w:r w:rsidRPr="0098717E">
              <w:rPr>
                <w:rFonts w:asciiTheme="minorHAnsi" w:hAnsiTheme="minorHAnsi" w:cstheme="minorHAnsi"/>
                <w:color w:val="000000"/>
                <w:sz w:val="20"/>
                <w:szCs w:val="20"/>
                <w:lang w:val="en-US" w:eastAsia="en-CA"/>
              </w:rPr>
              <w:t>0</w:t>
            </w:r>
          </w:p>
        </w:tc>
        <w:tc>
          <w:tcPr>
            <w:tcW w:w="1425" w:type="dxa"/>
            <w:tcBorders>
              <w:left w:val="single" w:sz="12" w:space="0" w:color="auto"/>
              <w:right w:val="single" w:sz="12" w:space="0" w:color="auto"/>
            </w:tcBorders>
            <w:shd w:val="clear" w:color="auto" w:fill="auto"/>
            <w:noWrap/>
            <w:hideMark/>
          </w:tcPr>
          <w:p w14:paraId="56CC60C0" w14:textId="1E71727B" w:rsidR="00DE1643" w:rsidRPr="0098717E" w:rsidRDefault="001C7572" w:rsidP="0098717E">
            <w:pPr>
              <w:jc w:val="right"/>
              <w:rPr>
                <w:rFonts w:asciiTheme="minorHAnsi" w:hAnsiTheme="minorHAnsi" w:cstheme="minorHAnsi"/>
                <w:color w:val="000000"/>
                <w:sz w:val="20"/>
                <w:szCs w:val="20"/>
                <w:lang w:val="en-US" w:eastAsia="en-CA"/>
              </w:rPr>
            </w:pPr>
            <w:r w:rsidRPr="0098717E">
              <w:rPr>
                <w:rFonts w:asciiTheme="minorHAnsi" w:hAnsiTheme="minorHAnsi" w:cstheme="minorHAnsi"/>
                <w:color w:val="000000"/>
                <w:sz w:val="20"/>
                <w:szCs w:val="20"/>
                <w:lang w:val="en-US" w:eastAsia="en-CA"/>
              </w:rPr>
              <w:t xml:space="preserve">1-99 </w:t>
            </w:r>
          </w:p>
        </w:tc>
        <w:tc>
          <w:tcPr>
            <w:tcW w:w="1595" w:type="dxa"/>
            <w:tcBorders>
              <w:left w:val="single" w:sz="12" w:space="0" w:color="auto"/>
            </w:tcBorders>
            <w:shd w:val="clear" w:color="auto" w:fill="auto"/>
            <w:noWrap/>
            <w:hideMark/>
          </w:tcPr>
          <w:p w14:paraId="79A881D5" w14:textId="3504ED50" w:rsidR="00DE1643" w:rsidRPr="0098717E" w:rsidRDefault="0042395F" w:rsidP="0098717E">
            <w:pPr>
              <w:jc w:val="right"/>
              <w:rPr>
                <w:rFonts w:asciiTheme="minorHAnsi" w:hAnsiTheme="minorHAnsi" w:cstheme="minorHAnsi"/>
                <w:sz w:val="20"/>
                <w:szCs w:val="20"/>
                <w:lang w:val="en-US" w:eastAsia="en-CA"/>
              </w:rPr>
            </w:pPr>
            <w:r w:rsidRPr="0098717E">
              <w:rPr>
                <w:rFonts w:asciiTheme="minorHAnsi" w:hAnsiTheme="minorHAnsi" w:cstheme="minorHAnsi"/>
                <w:color w:val="000000"/>
                <w:sz w:val="20"/>
                <w:szCs w:val="20"/>
                <w:lang w:val="en-US" w:eastAsia="en-CA"/>
              </w:rPr>
              <w:sym w:font="Symbol" w:char="F0B3"/>
            </w:r>
            <w:r w:rsidR="001C7572" w:rsidRPr="0098717E">
              <w:rPr>
                <w:rFonts w:asciiTheme="minorHAnsi" w:hAnsiTheme="minorHAnsi" w:cstheme="minorHAnsi"/>
                <w:color w:val="000000"/>
                <w:sz w:val="20"/>
                <w:szCs w:val="20"/>
                <w:lang w:val="en-US" w:eastAsia="en-CA"/>
              </w:rPr>
              <w:t xml:space="preserve">100 </w:t>
            </w:r>
          </w:p>
        </w:tc>
      </w:tr>
      <w:tr w:rsidR="00DE1643" w:rsidRPr="0098717E" w14:paraId="08C1CB40" w14:textId="77777777" w:rsidTr="00921407">
        <w:trPr>
          <w:trHeight w:val="292"/>
        </w:trPr>
        <w:tc>
          <w:tcPr>
            <w:tcW w:w="704" w:type="dxa"/>
            <w:vMerge/>
            <w:textDirection w:val="btLr"/>
            <w:vAlign w:val="center"/>
            <w:hideMark/>
          </w:tcPr>
          <w:p w14:paraId="523C9E27" w14:textId="77777777" w:rsidR="00DE1643" w:rsidRPr="00742442" w:rsidRDefault="00DE1643" w:rsidP="00921407">
            <w:pPr>
              <w:ind w:left="113" w:right="113"/>
              <w:rPr>
                <w:rFonts w:ascii="Calibri" w:hAnsi="Calibri" w:cs="Calibri"/>
                <w:b/>
                <w:color w:val="000000"/>
                <w:sz w:val="20"/>
                <w:szCs w:val="20"/>
                <w:lang w:val="en-US" w:eastAsia="en-CA"/>
              </w:rPr>
            </w:pPr>
          </w:p>
        </w:tc>
        <w:tc>
          <w:tcPr>
            <w:tcW w:w="3841" w:type="dxa"/>
            <w:tcBorders>
              <w:right w:val="single" w:sz="12" w:space="0" w:color="auto"/>
            </w:tcBorders>
            <w:shd w:val="clear" w:color="auto" w:fill="auto"/>
            <w:noWrap/>
            <w:hideMark/>
          </w:tcPr>
          <w:p w14:paraId="7A8C17A1" w14:textId="77777777" w:rsidR="00DE1643" w:rsidRPr="0098717E" w:rsidRDefault="00DE1643" w:rsidP="0098717E">
            <w:pPr>
              <w:rPr>
                <w:rFonts w:asciiTheme="minorHAnsi" w:hAnsiTheme="minorHAnsi" w:cstheme="minorHAnsi"/>
                <w:color w:val="000000"/>
                <w:sz w:val="20"/>
                <w:szCs w:val="20"/>
                <w:lang w:val="en-US" w:eastAsia="en-CA"/>
              </w:rPr>
            </w:pPr>
            <w:r w:rsidRPr="0098717E">
              <w:rPr>
                <w:rFonts w:asciiTheme="minorHAnsi" w:hAnsiTheme="minorHAnsi" w:cstheme="minorHAnsi"/>
                <w:color w:val="000000"/>
                <w:sz w:val="20"/>
                <w:szCs w:val="20"/>
                <w:lang w:val="en-US" w:eastAsia="en-CA"/>
              </w:rPr>
              <w:t>Venlafaxine</w:t>
            </w:r>
          </w:p>
        </w:tc>
        <w:tc>
          <w:tcPr>
            <w:tcW w:w="1226" w:type="dxa"/>
            <w:tcBorders>
              <w:left w:val="single" w:sz="12" w:space="0" w:color="auto"/>
              <w:right w:val="single" w:sz="12" w:space="0" w:color="auto"/>
            </w:tcBorders>
            <w:shd w:val="clear" w:color="auto" w:fill="auto"/>
            <w:noWrap/>
            <w:hideMark/>
          </w:tcPr>
          <w:p w14:paraId="6B73770B" w14:textId="77777777" w:rsidR="00DE1643" w:rsidRPr="0098717E" w:rsidRDefault="00DE1643" w:rsidP="0098717E">
            <w:pPr>
              <w:jc w:val="right"/>
              <w:rPr>
                <w:rFonts w:asciiTheme="minorHAnsi" w:hAnsiTheme="minorHAnsi" w:cstheme="minorHAnsi"/>
                <w:color w:val="000000"/>
                <w:sz w:val="20"/>
                <w:szCs w:val="20"/>
                <w:lang w:val="en-US" w:eastAsia="en-CA"/>
              </w:rPr>
            </w:pPr>
            <w:r w:rsidRPr="0098717E">
              <w:rPr>
                <w:rFonts w:asciiTheme="minorHAnsi" w:hAnsiTheme="minorHAnsi" w:cstheme="minorHAnsi"/>
                <w:color w:val="000000"/>
                <w:sz w:val="20"/>
                <w:szCs w:val="20"/>
                <w:lang w:val="en-US" w:eastAsia="en-CA"/>
              </w:rPr>
              <w:t>0</w:t>
            </w:r>
          </w:p>
        </w:tc>
        <w:tc>
          <w:tcPr>
            <w:tcW w:w="1425" w:type="dxa"/>
            <w:tcBorders>
              <w:left w:val="single" w:sz="12" w:space="0" w:color="auto"/>
              <w:right w:val="single" w:sz="12" w:space="0" w:color="auto"/>
            </w:tcBorders>
            <w:shd w:val="clear" w:color="auto" w:fill="auto"/>
            <w:noWrap/>
            <w:hideMark/>
          </w:tcPr>
          <w:p w14:paraId="47AACF11" w14:textId="564CBDC5" w:rsidR="00DE1643" w:rsidRPr="0098717E" w:rsidRDefault="000660B4" w:rsidP="0098717E">
            <w:pPr>
              <w:jc w:val="right"/>
              <w:rPr>
                <w:rFonts w:asciiTheme="minorHAnsi" w:hAnsiTheme="minorHAnsi" w:cstheme="minorHAnsi"/>
                <w:color w:val="000000"/>
                <w:sz w:val="20"/>
                <w:szCs w:val="20"/>
                <w:lang w:val="en-US" w:eastAsia="en-CA"/>
              </w:rPr>
            </w:pPr>
            <w:r w:rsidRPr="0098717E">
              <w:rPr>
                <w:rFonts w:asciiTheme="minorHAnsi" w:hAnsiTheme="minorHAnsi" w:cstheme="minorHAnsi"/>
                <w:color w:val="000000"/>
                <w:sz w:val="20"/>
                <w:szCs w:val="20"/>
                <w:lang w:val="en-US" w:eastAsia="en-CA"/>
              </w:rPr>
              <w:t xml:space="preserve">1-224 </w:t>
            </w:r>
          </w:p>
        </w:tc>
        <w:tc>
          <w:tcPr>
            <w:tcW w:w="1595" w:type="dxa"/>
            <w:tcBorders>
              <w:left w:val="single" w:sz="12" w:space="0" w:color="auto"/>
            </w:tcBorders>
            <w:shd w:val="clear" w:color="auto" w:fill="auto"/>
            <w:noWrap/>
            <w:hideMark/>
          </w:tcPr>
          <w:p w14:paraId="7ED69291" w14:textId="5DDAA550" w:rsidR="00DE1643" w:rsidRPr="0098717E" w:rsidRDefault="0042395F" w:rsidP="0098717E">
            <w:pPr>
              <w:jc w:val="right"/>
              <w:rPr>
                <w:rFonts w:asciiTheme="minorHAnsi" w:hAnsiTheme="minorHAnsi" w:cstheme="minorHAnsi"/>
                <w:sz w:val="20"/>
                <w:szCs w:val="20"/>
                <w:lang w:val="en-US" w:eastAsia="en-CA"/>
              </w:rPr>
            </w:pPr>
            <w:r w:rsidRPr="0098717E">
              <w:rPr>
                <w:rFonts w:asciiTheme="minorHAnsi" w:hAnsiTheme="minorHAnsi" w:cstheme="minorHAnsi"/>
                <w:color w:val="000000"/>
                <w:sz w:val="20"/>
                <w:szCs w:val="20"/>
                <w:lang w:val="en-US" w:eastAsia="en-CA"/>
              </w:rPr>
              <w:sym w:font="Symbol" w:char="F0B3"/>
            </w:r>
            <w:r w:rsidR="000660B4" w:rsidRPr="0098717E">
              <w:rPr>
                <w:rFonts w:asciiTheme="minorHAnsi" w:hAnsiTheme="minorHAnsi" w:cstheme="minorHAnsi"/>
                <w:color w:val="000000"/>
                <w:sz w:val="20"/>
                <w:szCs w:val="20"/>
                <w:lang w:val="en-US" w:eastAsia="en-CA"/>
              </w:rPr>
              <w:t xml:space="preserve">225 </w:t>
            </w:r>
          </w:p>
        </w:tc>
      </w:tr>
      <w:tr w:rsidR="00DE1643" w:rsidRPr="0098717E" w14:paraId="697EDF58" w14:textId="77777777" w:rsidTr="00921407">
        <w:trPr>
          <w:trHeight w:val="292"/>
        </w:trPr>
        <w:tc>
          <w:tcPr>
            <w:tcW w:w="704" w:type="dxa"/>
            <w:vMerge/>
            <w:textDirection w:val="btLr"/>
            <w:vAlign w:val="center"/>
            <w:hideMark/>
          </w:tcPr>
          <w:p w14:paraId="0D9F126C" w14:textId="77777777" w:rsidR="00DE1643" w:rsidRPr="00742442" w:rsidRDefault="00DE1643" w:rsidP="00921407">
            <w:pPr>
              <w:ind w:left="113" w:right="113"/>
              <w:rPr>
                <w:rFonts w:ascii="Calibri" w:hAnsi="Calibri" w:cs="Calibri"/>
                <w:b/>
                <w:color w:val="000000"/>
                <w:sz w:val="20"/>
                <w:szCs w:val="20"/>
                <w:lang w:val="en-US" w:eastAsia="en-CA"/>
              </w:rPr>
            </w:pPr>
          </w:p>
        </w:tc>
        <w:tc>
          <w:tcPr>
            <w:tcW w:w="3841" w:type="dxa"/>
            <w:tcBorders>
              <w:right w:val="single" w:sz="12" w:space="0" w:color="auto"/>
            </w:tcBorders>
            <w:shd w:val="clear" w:color="auto" w:fill="auto"/>
            <w:noWrap/>
            <w:hideMark/>
          </w:tcPr>
          <w:p w14:paraId="2A92673E" w14:textId="5937E585" w:rsidR="00DE1643" w:rsidRPr="0098717E" w:rsidRDefault="000660B4" w:rsidP="0098717E">
            <w:pPr>
              <w:rPr>
                <w:rFonts w:asciiTheme="minorHAnsi" w:hAnsiTheme="minorHAnsi" w:cstheme="minorHAnsi"/>
                <w:color w:val="000000"/>
                <w:sz w:val="20"/>
                <w:szCs w:val="20"/>
                <w:lang w:val="en-US" w:eastAsia="en-CA"/>
              </w:rPr>
            </w:pPr>
            <w:r w:rsidRPr="0098717E">
              <w:rPr>
                <w:rFonts w:asciiTheme="minorHAnsi" w:hAnsiTheme="minorHAnsi" w:cstheme="minorHAnsi"/>
                <w:color w:val="000000"/>
                <w:sz w:val="20"/>
                <w:szCs w:val="20"/>
                <w:lang w:val="en-US" w:eastAsia="en-CA"/>
              </w:rPr>
              <w:t>Duloxetine</w:t>
            </w:r>
          </w:p>
        </w:tc>
        <w:tc>
          <w:tcPr>
            <w:tcW w:w="1226" w:type="dxa"/>
            <w:tcBorders>
              <w:left w:val="single" w:sz="12" w:space="0" w:color="auto"/>
              <w:right w:val="single" w:sz="12" w:space="0" w:color="auto"/>
            </w:tcBorders>
            <w:shd w:val="clear" w:color="auto" w:fill="auto"/>
            <w:noWrap/>
            <w:hideMark/>
          </w:tcPr>
          <w:p w14:paraId="4D8F7D3B" w14:textId="77777777" w:rsidR="00DE1643" w:rsidRPr="0098717E" w:rsidRDefault="00DE1643" w:rsidP="0098717E">
            <w:pPr>
              <w:jc w:val="right"/>
              <w:rPr>
                <w:rFonts w:asciiTheme="minorHAnsi" w:hAnsiTheme="minorHAnsi" w:cstheme="minorHAnsi"/>
                <w:color w:val="000000"/>
                <w:sz w:val="20"/>
                <w:szCs w:val="20"/>
                <w:lang w:val="en-US" w:eastAsia="en-CA"/>
              </w:rPr>
            </w:pPr>
            <w:r w:rsidRPr="0098717E">
              <w:rPr>
                <w:rFonts w:asciiTheme="minorHAnsi" w:hAnsiTheme="minorHAnsi" w:cstheme="minorHAnsi"/>
                <w:color w:val="000000"/>
                <w:sz w:val="20"/>
                <w:szCs w:val="20"/>
                <w:lang w:val="en-US" w:eastAsia="en-CA"/>
              </w:rPr>
              <w:t>0</w:t>
            </w:r>
          </w:p>
        </w:tc>
        <w:tc>
          <w:tcPr>
            <w:tcW w:w="1425" w:type="dxa"/>
            <w:tcBorders>
              <w:left w:val="single" w:sz="12" w:space="0" w:color="auto"/>
              <w:right w:val="single" w:sz="12" w:space="0" w:color="auto"/>
            </w:tcBorders>
            <w:shd w:val="clear" w:color="auto" w:fill="auto"/>
            <w:noWrap/>
            <w:hideMark/>
          </w:tcPr>
          <w:p w14:paraId="14C413C2" w14:textId="640F0744" w:rsidR="00DE1643" w:rsidRPr="0098717E" w:rsidRDefault="000660B4" w:rsidP="0098717E">
            <w:pPr>
              <w:jc w:val="right"/>
              <w:rPr>
                <w:rFonts w:asciiTheme="minorHAnsi" w:hAnsiTheme="minorHAnsi" w:cstheme="minorHAnsi"/>
                <w:color w:val="000000"/>
                <w:sz w:val="20"/>
                <w:szCs w:val="20"/>
                <w:lang w:val="en-US" w:eastAsia="en-CA"/>
              </w:rPr>
            </w:pPr>
            <w:r w:rsidRPr="0098717E">
              <w:rPr>
                <w:rFonts w:asciiTheme="minorHAnsi" w:hAnsiTheme="minorHAnsi" w:cstheme="minorHAnsi"/>
                <w:color w:val="000000"/>
                <w:sz w:val="20"/>
                <w:szCs w:val="20"/>
                <w:lang w:val="en-US" w:eastAsia="en-CA"/>
              </w:rPr>
              <w:t xml:space="preserve">1-59 </w:t>
            </w:r>
          </w:p>
        </w:tc>
        <w:tc>
          <w:tcPr>
            <w:tcW w:w="1595" w:type="dxa"/>
            <w:tcBorders>
              <w:left w:val="single" w:sz="12" w:space="0" w:color="auto"/>
            </w:tcBorders>
            <w:shd w:val="clear" w:color="auto" w:fill="auto"/>
            <w:noWrap/>
            <w:hideMark/>
          </w:tcPr>
          <w:p w14:paraId="4136AC5A" w14:textId="06085BBB" w:rsidR="00DE1643" w:rsidRPr="0098717E" w:rsidRDefault="0042395F" w:rsidP="0098717E">
            <w:pPr>
              <w:jc w:val="right"/>
              <w:rPr>
                <w:rFonts w:asciiTheme="minorHAnsi" w:hAnsiTheme="minorHAnsi" w:cstheme="minorHAnsi"/>
                <w:sz w:val="20"/>
                <w:szCs w:val="20"/>
                <w:lang w:val="en-US" w:eastAsia="en-CA"/>
              </w:rPr>
            </w:pPr>
            <w:r w:rsidRPr="0098717E">
              <w:rPr>
                <w:rFonts w:asciiTheme="minorHAnsi" w:hAnsiTheme="minorHAnsi" w:cstheme="minorHAnsi"/>
                <w:color w:val="000000"/>
                <w:sz w:val="20"/>
                <w:szCs w:val="20"/>
                <w:lang w:val="en-US" w:eastAsia="en-CA"/>
              </w:rPr>
              <w:sym w:font="Symbol" w:char="F0B3"/>
            </w:r>
            <w:r w:rsidR="000660B4" w:rsidRPr="0098717E">
              <w:rPr>
                <w:rFonts w:asciiTheme="minorHAnsi" w:hAnsiTheme="minorHAnsi" w:cstheme="minorHAnsi"/>
                <w:color w:val="000000"/>
                <w:sz w:val="20"/>
                <w:szCs w:val="20"/>
                <w:lang w:val="en-US" w:eastAsia="en-CA"/>
              </w:rPr>
              <w:t xml:space="preserve">60 </w:t>
            </w:r>
          </w:p>
        </w:tc>
      </w:tr>
      <w:tr w:rsidR="00DE1643" w:rsidRPr="0098717E" w14:paraId="65810F03" w14:textId="77777777" w:rsidTr="00921407">
        <w:trPr>
          <w:trHeight w:val="292"/>
        </w:trPr>
        <w:tc>
          <w:tcPr>
            <w:tcW w:w="704" w:type="dxa"/>
            <w:vMerge/>
            <w:textDirection w:val="btLr"/>
            <w:vAlign w:val="center"/>
            <w:hideMark/>
          </w:tcPr>
          <w:p w14:paraId="434B2D54" w14:textId="77777777" w:rsidR="00DE1643" w:rsidRPr="00742442" w:rsidRDefault="00DE1643" w:rsidP="00921407">
            <w:pPr>
              <w:ind w:left="113" w:right="113"/>
              <w:rPr>
                <w:rFonts w:ascii="Calibri" w:hAnsi="Calibri" w:cs="Calibri"/>
                <w:b/>
                <w:color w:val="000000"/>
                <w:sz w:val="20"/>
                <w:szCs w:val="20"/>
                <w:lang w:val="en-US" w:eastAsia="en-CA"/>
              </w:rPr>
            </w:pPr>
          </w:p>
        </w:tc>
        <w:tc>
          <w:tcPr>
            <w:tcW w:w="3841" w:type="dxa"/>
            <w:tcBorders>
              <w:right w:val="single" w:sz="12" w:space="0" w:color="auto"/>
            </w:tcBorders>
            <w:shd w:val="clear" w:color="auto" w:fill="auto"/>
            <w:noWrap/>
            <w:hideMark/>
          </w:tcPr>
          <w:p w14:paraId="3616BABF" w14:textId="3C4035BB" w:rsidR="0025401D" w:rsidRPr="00387C81" w:rsidRDefault="0025401D" w:rsidP="0098717E">
            <w:pPr>
              <w:rPr>
                <w:rFonts w:asciiTheme="minorHAnsi" w:hAnsiTheme="minorHAnsi" w:cstheme="minorHAnsi"/>
                <w:sz w:val="20"/>
                <w:szCs w:val="20"/>
                <w:lang w:eastAsia="en-CA"/>
              </w:rPr>
            </w:pPr>
            <w:r w:rsidRPr="0098717E">
              <w:rPr>
                <w:rFonts w:asciiTheme="minorHAnsi" w:hAnsiTheme="minorHAnsi" w:cstheme="minorHAnsi"/>
                <w:sz w:val="20"/>
                <w:szCs w:val="20"/>
                <w:lang w:val="en-US" w:eastAsia="en-CA"/>
              </w:rPr>
              <w:t>﻿</w:t>
            </w:r>
            <w:proofErr w:type="spellStart"/>
            <w:r w:rsidRPr="00387C81">
              <w:rPr>
                <w:rFonts w:asciiTheme="minorHAnsi" w:hAnsiTheme="minorHAnsi" w:cstheme="minorHAnsi"/>
                <w:sz w:val="20"/>
                <w:szCs w:val="20"/>
                <w:lang w:eastAsia="en-CA"/>
              </w:rPr>
              <w:t>Amitriptyline</w:t>
            </w:r>
            <w:proofErr w:type="spellEnd"/>
            <w:r w:rsidRPr="00387C81">
              <w:rPr>
                <w:rFonts w:asciiTheme="minorHAnsi" w:hAnsiTheme="minorHAnsi" w:cstheme="minorHAnsi"/>
                <w:sz w:val="20"/>
                <w:szCs w:val="20"/>
                <w:lang w:eastAsia="en-CA"/>
              </w:rPr>
              <w:t>, imipramine</w:t>
            </w:r>
            <w:r w:rsidR="0098717E" w:rsidRPr="00387C81">
              <w:rPr>
                <w:rFonts w:asciiTheme="minorHAnsi" w:hAnsiTheme="minorHAnsi" w:cstheme="minorHAnsi"/>
                <w:sz w:val="20"/>
                <w:szCs w:val="20"/>
                <w:lang w:eastAsia="en-CA"/>
              </w:rPr>
              <w:t>,</w:t>
            </w:r>
            <w:r w:rsidRPr="00387C81">
              <w:rPr>
                <w:rFonts w:asciiTheme="minorHAnsi" w:hAnsiTheme="minorHAnsi" w:cstheme="minorHAnsi"/>
                <w:sz w:val="20"/>
                <w:szCs w:val="20"/>
                <w:lang w:eastAsia="en-CA"/>
              </w:rPr>
              <w:t xml:space="preserve"> </w:t>
            </w:r>
          </w:p>
          <w:p w14:paraId="68CE2AD6" w14:textId="2C2DE31D" w:rsidR="00DE1643" w:rsidRPr="0098717E" w:rsidRDefault="0098717E" w:rsidP="0098717E">
            <w:pPr>
              <w:rPr>
                <w:rFonts w:asciiTheme="minorHAnsi" w:hAnsiTheme="minorHAnsi" w:cstheme="minorHAnsi"/>
                <w:sz w:val="20"/>
                <w:szCs w:val="20"/>
                <w:lang w:eastAsia="en-CA"/>
              </w:rPr>
            </w:pPr>
            <w:proofErr w:type="spellStart"/>
            <w:proofErr w:type="gramStart"/>
            <w:r w:rsidRPr="00387C81">
              <w:rPr>
                <w:rFonts w:asciiTheme="minorHAnsi" w:hAnsiTheme="minorHAnsi" w:cstheme="minorHAnsi"/>
                <w:sz w:val="20"/>
                <w:szCs w:val="20"/>
                <w:lang w:eastAsia="en-CA"/>
              </w:rPr>
              <w:t>desipramine</w:t>
            </w:r>
            <w:proofErr w:type="spellEnd"/>
            <w:proofErr w:type="gramEnd"/>
            <w:r w:rsidRPr="00387C81">
              <w:rPr>
                <w:rFonts w:asciiTheme="minorHAnsi" w:hAnsiTheme="minorHAnsi" w:cstheme="minorHAnsi"/>
                <w:sz w:val="20"/>
                <w:szCs w:val="20"/>
                <w:lang w:eastAsia="en-CA"/>
              </w:rPr>
              <w:t xml:space="preserve">, </w:t>
            </w:r>
            <w:proofErr w:type="spellStart"/>
            <w:r w:rsidRPr="00387C81">
              <w:rPr>
                <w:rFonts w:asciiTheme="minorHAnsi" w:hAnsiTheme="minorHAnsi" w:cstheme="minorHAnsi"/>
                <w:sz w:val="20"/>
                <w:szCs w:val="20"/>
                <w:lang w:eastAsia="en-CA"/>
              </w:rPr>
              <w:t>trimipramine</w:t>
            </w:r>
            <w:proofErr w:type="spellEnd"/>
            <w:r w:rsidRPr="00387C81">
              <w:rPr>
                <w:rFonts w:asciiTheme="minorHAnsi" w:hAnsiTheme="minorHAnsi" w:cstheme="minorHAnsi"/>
                <w:sz w:val="20"/>
                <w:szCs w:val="20"/>
                <w:lang w:eastAsia="en-CA"/>
              </w:rPr>
              <w:t>,</w:t>
            </w:r>
            <w:r w:rsidR="0025401D" w:rsidRPr="00387C81">
              <w:rPr>
                <w:rFonts w:asciiTheme="minorHAnsi" w:hAnsiTheme="minorHAnsi" w:cstheme="minorHAnsi"/>
                <w:sz w:val="20"/>
                <w:szCs w:val="20"/>
                <w:lang w:eastAsia="en-CA"/>
              </w:rPr>
              <w:t xml:space="preserve"> </w:t>
            </w:r>
            <w:proofErr w:type="spellStart"/>
            <w:r w:rsidR="0025401D" w:rsidRPr="00387C81">
              <w:rPr>
                <w:rFonts w:asciiTheme="minorHAnsi" w:hAnsiTheme="minorHAnsi" w:cstheme="minorHAnsi"/>
                <w:sz w:val="20"/>
                <w:szCs w:val="20"/>
                <w:lang w:eastAsia="en-CA"/>
              </w:rPr>
              <w:t>clomipramine</w:t>
            </w:r>
            <w:proofErr w:type="spellEnd"/>
            <w:r w:rsidRPr="00387C81">
              <w:rPr>
                <w:rFonts w:asciiTheme="minorHAnsi" w:hAnsiTheme="minorHAnsi" w:cstheme="minorHAnsi"/>
                <w:sz w:val="20"/>
                <w:szCs w:val="20"/>
                <w:lang w:eastAsia="en-CA"/>
              </w:rPr>
              <w:t>,</w:t>
            </w:r>
            <w:r w:rsidR="0025401D" w:rsidRPr="00387C81">
              <w:rPr>
                <w:rFonts w:asciiTheme="minorHAnsi" w:hAnsiTheme="minorHAnsi" w:cstheme="minorHAnsi"/>
                <w:sz w:val="20"/>
                <w:szCs w:val="20"/>
                <w:lang w:eastAsia="en-CA"/>
              </w:rPr>
              <w:t xml:space="preserve"> </w:t>
            </w:r>
            <w:proofErr w:type="spellStart"/>
            <w:r w:rsidR="0025401D" w:rsidRPr="00387C81">
              <w:rPr>
                <w:rFonts w:asciiTheme="minorHAnsi" w:hAnsiTheme="minorHAnsi" w:cstheme="minorHAnsi"/>
                <w:sz w:val="20"/>
                <w:szCs w:val="20"/>
                <w:lang w:eastAsia="en-CA"/>
              </w:rPr>
              <w:t>maprotiline</w:t>
            </w:r>
            <w:proofErr w:type="spellEnd"/>
            <w:r w:rsidRPr="00387C81">
              <w:rPr>
                <w:rFonts w:asciiTheme="minorHAnsi" w:hAnsiTheme="minorHAnsi" w:cstheme="minorHAnsi"/>
                <w:sz w:val="20"/>
                <w:szCs w:val="20"/>
                <w:lang w:eastAsia="en-CA"/>
              </w:rPr>
              <w:t xml:space="preserve">, </w:t>
            </w:r>
            <w:proofErr w:type="spellStart"/>
            <w:r w:rsidR="0025401D" w:rsidRPr="00387C81">
              <w:rPr>
                <w:rFonts w:asciiTheme="minorHAnsi" w:hAnsiTheme="minorHAnsi" w:cstheme="minorHAnsi"/>
                <w:sz w:val="20"/>
                <w:szCs w:val="20"/>
                <w:lang w:eastAsia="en-CA"/>
              </w:rPr>
              <w:t>doxepin</w:t>
            </w:r>
            <w:proofErr w:type="spellEnd"/>
            <w:r w:rsidRPr="00387C81">
              <w:rPr>
                <w:rFonts w:asciiTheme="minorHAnsi" w:hAnsiTheme="minorHAnsi" w:cstheme="minorHAnsi"/>
                <w:sz w:val="20"/>
                <w:szCs w:val="20"/>
                <w:lang w:eastAsia="en-CA"/>
              </w:rPr>
              <w:t xml:space="preserve">, </w:t>
            </w:r>
            <w:proofErr w:type="spellStart"/>
            <w:r w:rsidR="0025401D" w:rsidRPr="00387C81">
              <w:rPr>
                <w:rFonts w:asciiTheme="minorHAnsi" w:hAnsiTheme="minorHAnsi" w:cstheme="minorHAnsi"/>
                <w:sz w:val="20"/>
                <w:szCs w:val="20"/>
                <w:lang w:eastAsia="en-CA"/>
              </w:rPr>
              <w:t>nomifensine</w:t>
            </w:r>
            <w:proofErr w:type="spellEnd"/>
          </w:p>
        </w:tc>
        <w:tc>
          <w:tcPr>
            <w:tcW w:w="1226" w:type="dxa"/>
            <w:tcBorders>
              <w:left w:val="single" w:sz="12" w:space="0" w:color="auto"/>
              <w:right w:val="single" w:sz="12" w:space="0" w:color="auto"/>
            </w:tcBorders>
            <w:shd w:val="clear" w:color="auto" w:fill="auto"/>
            <w:noWrap/>
            <w:hideMark/>
          </w:tcPr>
          <w:p w14:paraId="484E4209" w14:textId="506D054B" w:rsidR="00DE1643" w:rsidRPr="0098717E" w:rsidRDefault="0098717E" w:rsidP="0098717E">
            <w:pPr>
              <w:jc w:val="right"/>
              <w:rPr>
                <w:rFonts w:asciiTheme="minorHAnsi" w:hAnsiTheme="minorHAnsi" w:cstheme="minorHAnsi"/>
                <w:sz w:val="20"/>
                <w:szCs w:val="20"/>
                <w:lang w:val="en-US" w:eastAsia="en-CA"/>
              </w:rPr>
            </w:pPr>
            <w:r w:rsidRPr="0098717E">
              <w:rPr>
                <w:rFonts w:asciiTheme="minorHAnsi" w:hAnsiTheme="minorHAnsi" w:cstheme="minorHAnsi"/>
                <w:sz w:val="20"/>
                <w:szCs w:val="20"/>
                <w:lang w:val="en-US" w:eastAsia="en-CA"/>
              </w:rPr>
              <w:t>0</w:t>
            </w:r>
          </w:p>
        </w:tc>
        <w:tc>
          <w:tcPr>
            <w:tcW w:w="1425" w:type="dxa"/>
            <w:tcBorders>
              <w:left w:val="single" w:sz="12" w:space="0" w:color="auto"/>
              <w:right w:val="single" w:sz="12" w:space="0" w:color="auto"/>
            </w:tcBorders>
            <w:shd w:val="clear" w:color="auto" w:fill="auto"/>
            <w:noWrap/>
            <w:hideMark/>
          </w:tcPr>
          <w:p w14:paraId="7D483B7E" w14:textId="28B7557D" w:rsidR="00DE1643" w:rsidRPr="0098717E" w:rsidRDefault="0025401D" w:rsidP="0098717E">
            <w:pPr>
              <w:jc w:val="right"/>
              <w:rPr>
                <w:rFonts w:asciiTheme="minorHAnsi" w:hAnsiTheme="minorHAnsi" w:cstheme="minorHAnsi"/>
                <w:sz w:val="20"/>
                <w:szCs w:val="20"/>
                <w:lang w:val="en-US" w:eastAsia="en-CA"/>
              </w:rPr>
            </w:pPr>
            <w:r w:rsidRPr="0098717E">
              <w:rPr>
                <w:rFonts w:asciiTheme="minorHAnsi" w:hAnsiTheme="minorHAnsi" w:cstheme="minorHAnsi"/>
                <w:color w:val="000000"/>
                <w:sz w:val="20"/>
                <w:szCs w:val="20"/>
                <w:lang w:val="en-US" w:eastAsia="en-CA"/>
              </w:rPr>
              <w:t xml:space="preserve">1-199 </w:t>
            </w:r>
          </w:p>
        </w:tc>
        <w:tc>
          <w:tcPr>
            <w:tcW w:w="1595" w:type="dxa"/>
            <w:tcBorders>
              <w:left w:val="single" w:sz="12" w:space="0" w:color="auto"/>
            </w:tcBorders>
            <w:shd w:val="clear" w:color="auto" w:fill="auto"/>
            <w:noWrap/>
            <w:hideMark/>
          </w:tcPr>
          <w:p w14:paraId="571F4403" w14:textId="726C51D2" w:rsidR="00DE1643" w:rsidRPr="0098717E" w:rsidRDefault="0042395F" w:rsidP="0098717E">
            <w:pPr>
              <w:jc w:val="right"/>
              <w:rPr>
                <w:rFonts w:asciiTheme="minorHAnsi" w:hAnsiTheme="minorHAnsi" w:cstheme="minorHAnsi"/>
                <w:sz w:val="20"/>
                <w:szCs w:val="20"/>
                <w:lang w:val="en-US" w:eastAsia="en-CA"/>
              </w:rPr>
            </w:pPr>
            <w:r w:rsidRPr="0098717E">
              <w:rPr>
                <w:rFonts w:asciiTheme="minorHAnsi" w:hAnsiTheme="minorHAnsi" w:cstheme="minorHAnsi"/>
                <w:color w:val="000000"/>
                <w:sz w:val="20"/>
                <w:szCs w:val="20"/>
                <w:lang w:val="en-US" w:eastAsia="en-CA"/>
              </w:rPr>
              <w:sym w:font="Symbol" w:char="F0B3"/>
            </w:r>
            <w:r w:rsidR="0025401D" w:rsidRPr="0098717E">
              <w:rPr>
                <w:rFonts w:asciiTheme="minorHAnsi" w:hAnsiTheme="minorHAnsi" w:cstheme="minorHAnsi"/>
                <w:color w:val="000000"/>
                <w:sz w:val="20"/>
                <w:szCs w:val="20"/>
                <w:lang w:val="en-US" w:eastAsia="en-CA"/>
              </w:rPr>
              <w:t xml:space="preserve">200 </w:t>
            </w:r>
          </w:p>
        </w:tc>
      </w:tr>
      <w:tr w:rsidR="00DE1643" w:rsidRPr="0098717E" w14:paraId="6D137C65" w14:textId="77777777" w:rsidTr="00921407">
        <w:trPr>
          <w:trHeight w:val="300"/>
        </w:trPr>
        <w:tc>
          <w:tcPr>
            <w:tcW w:w="704" w:type="dxa"/>
            <w:vMerge/>
            <w:textDirection w:val="btLr"/>
            <w:vAlign w:val="center"/>
            <w:hideMark/>
          </w:tcPr>
          <w:p w14:paraId="2329E3D2" w14:textId="77777777" w:rsidR="00DE1643" w:rsidRPr="00742442" w:rsidRDefault="00DE1643" w:rsidP="00921407">
            <w:pPr>
              <w:ind w:left="113" w:right="113"/>
              <w:rPr>
                <w:rFonts w:ascii="Calibri" w:hAnsi="Calibri" w:cs="Calibri"/>
                <w:b/>
                <w:color w:val="000000"/>
                <w:sz w:val="20"/>
                <w:szCs w:val="20"/>
                <w:lang w:val="en-US" w:eastAsia="en-CA"/>
              </w:rPr>
            </w:pPr>
          </w:p>
        </w:tc>
        <w:tc>
          <w:tcPr>
            <w:tcW w:w="3841" w:type="dxa"/>
            <w:tcBorders>
              <w:right w:val="single" w:sz="12" w:space="0" w:color="auto"/>
            </w:tcBorders>
            <w:shd w:val="clear" w:color="auto" w:fill="auto"/>
            <w:noWrap/>
            <w:hideMark/>
          </w:tcPr>
          <w:p w14:paraId="1915C130" w14:textId="0EC30751" w:rsidR="00DE1643" w:rsidRPr="0098717E" w:rsidRDefault="0025401D" w:rsidP="0098717E">
            <w:pPr>
              <w:rPr>
                <w:rFonts w:asciiTheme="minorHAnsi" w:hAnsiTheme="minorHAnsi" w:cstheme="minorHAnsi"/>
                <w:color w:val="000000"/>
                <w:sz w:val="20"/>
                <w:szCs w:val="20"/>
                <w:lang w:val="en-US" w:eastAsia="en-CA"/>
              </w:rPr>
            </w:pPr>
            <w:r w:rsidRPr="0098717E">
              <w:rPr>
                <w:rFonts w:asciiTheme="minorHAnsi" w:hAnsiTheme="minorHAnsi" w:cstheme="minorHAnsi"/>
                <w:color w:val="000000"/>
                <w:sz w:val="20"/>
                <w:szCs w:val="20"/>
                <w:lang w:val="en-US" w:eastAsia="en-CA"/>
              </w:rPr>
              <w:t>Mirtazapine</w:t>
            </w:r>
          </w:p>
        </w:tc>
        <w:tc>
          <w:tcPr>
            <w:tcW w:w="1226" w:type="dxa"/>
            <w:tcBorders>
              <w:left w:val="single" w:sz="12" w:space="0" w:color="auto"/>
              <w:right w:val="single" w:sz="12" w:space="0" w:color="auto"/>
            </w:tcBorders>
            <w:shd w:val="clear" w:color="auto" w:fill="auto"/>
            <w:noWrap/>
            <w:hideMark/>
          </w:tcPr>
          <w:p w14:paraId="72A1165E" w14:textId="77777777" w:rsidR="00DE1643" w:rsidRPr="0098717E" w:rsidRDefault="00DE1643" w:rsidP="0098717E">
            <w:pPr>
              <w:jc w:val="right"/>
              <w:rPr>
                <w:rFonts w:asciiTheme="minorHAnsi" w:hAnsiTheme="minorHAnsi" w:cstheme="minorHAnsi"/>
                <w:color w:val="000000"/>
                <w:sz w:val="20"/>
                <w:szCs w:val="20"/>
                <w:lang w:val="en-US" w:eastAsia="en-CA"/>
              </w:rPr>
            </w:pPr>
            <w:r w:rsidRPr="0098717E">
              <w:rPr>
                <w:rFonts w:asciiTheme="minorHAnsi" w:hAnsiTheme="minorHAnsi" w:cstheme="minorHAnsi"/>
                <w:color w:val="000000"/>
                <w:sz w:val="20"/>
                <w:szCs w:val="20"/>
                <w:lang w:val="en-US" w:eastAsia="en-CA"/>
              </w:rPr>
              <w:t> </w:t>
            </w:r>
          </w:p>
        </w:tc>
        <w:tc>
          <w:tcPr>
            <w:tcW w:w="1425" w:type="dxa"/>
            <w:tcBorders>
              <w:left w:val="single" w:sz="12" w:space="0" w:color="auto"/>
              <w:right w:val="single" w:sz="12" w:space="0" w:color="auto"/>
            </w:tcBorders>
            <w:shd w:val="clear" w:color="auto" w:fill="auto"/>
            <w:noWrap/>
            <w:hideMark/>
          </w:tcPr>
          <w:p w14:paraId="28E3FC60" w14:textId="2CFC54BC" w:rsidR="00DE1643" w:rsidRPr="0098717E" w:rsidRDefault="00C85C22" w:rsidP="0098717E">
            <w:pPr>
              <w:jc w:val="right"/>
              <w:rPr>
                <w:rFonts w:asciiTheme="minorHAnsi" w:hAnsiTheme="minorHAnsi" w:cstheme="minorHAnsi"/>
                <w:color w:val="000000"/>
                <w:sz w:val="20"/>
                <w:szCs w:val="20"/>
                <w:lang w:val="en-US" w:eastAsia="en-CA"/>
              </w:rPr>
            </w:pPr>
            <w:r w:rsidRPr="0098717E">
              <w:rPr>
                <w:rFonts w:asciiTheme="minorHAnsi" w:hAnsiTheme="minorHAnsi" w:cstheme="minorHAnsi"/>
                <w:color w:val="000000"/>
                <w:sz w:val="20"/>
                <w:szCs w:val="20"/>
                <w:lang w:val="en-US" w:eastAsia="en-CA"/>
              </w:rPr>
              <w:t xml:space="preserve">1-29 </w:t>
            </w:r>
            <w:r w:rsidR="00DE1643" w:rsidRPr="0098717E">
              <w:rPr>
                <w:rFonts w:asciiTheme="minorHAnsi" w:hAnsiTheme="minorHAnsi" w:cstheme="minorHAnsi"/>
                <w:color w:val="000000"/>
                <w:sz w:val="20"/>
                <w:szCs w:val="20"/>
                <w:lang w:val="en-US" w:eastAsia="en-CA"/>
              </w:rPr>
              <w:t> </w:t>
            </w:r>
          </w:p>
        </w:tc>
        <w:tc>
          <w:tcPr>
            <w:tcW w:w="1595" w:type="dxa"/>
            <w:tcBorders>
              <w:left w:val="single" w:sz="12" w:space="0" w:color="auto"/>
            </w:tcBorders>
            <w:shd w:val="clear" w:color="auto" w:fill="auto"/>
            <w:noWrap/>
            <w:hideMark/>
          </w:tcPr>
          <w:p w14:paraId="4D55BBD3" w14:textId="2142778F" w:rsidR="00DE1643" w:rsidRPr="0098717E" w:rsidRDefault="00DE1643" w:rsidP="0098717E">
            <w:pPr>
              <w:jc w:val="right"/>
              <w:rPr>
                <w:rFonts w:asciiTheme="minorHAnsi" w:hAnsiTheme="minorHAnsi" w:cstheme="minorHAnsi"/>
                <w:color w:val="000000"/>
                <w:sz w:val="20"/>
                <w:szCs w:val="20"/>
                <w:lang w:val="en-US" w:eastAsia="en-CA"/>
              </w:rPr>
            </w:pPr>
            <w:r w:rsidRPr="0098717E">
              <w:rPr>
                <w:rFonts w:asciiTheme="minorHAnsi" w:hAnsiTheme="minorHAnsi" w:cstheme="minorHAnsi"/>
                <w:color w:val="000000"/>
                <w:sz w:val="20"/>
                <w:szCs w:val="20"/>
                <w:lang w:val="en-US" w:eastAsia="en-CA"/>
              </w:rPr>
              <w:t> </w:t>
            </w:r>
            <w:r w:rsidR="0042395F" w:rsidRPr="0098717E">
              <w:rPr>
                <w:rFonts w:asciiTheme="minorHAnsi" w:hAnsiTheme="minorHAnsi" w:cstheme="minorHAnsi"/>
                <w:color w:val="000000"/>
                <w:sz w:val="20"/>
                <w:szCs w:val="20"/>
                <w:lang w:val="en-US" w:eastAsia="en-CA"/>
              </w:rPr>
              <w:sym w:font="Symbol" w:char="F0B3"/>
            </w:r>
            <w:r w:rsidR="00C85C22" w:rsidRPr="0098717E">
              <w:rPr>
                <w:rFonts w:asciiTheme="minorHAnsi" w:hAnsiTheme="minorHAnsi" w:cstheme="minorHAnsi"/>
                <w:color w:val="000000"/>
                <w:sz w:val="20"/>
                <w:szCs w:val="20"/>
                <w:lang w:val="en-US" w:eastAsia="en-CA"/>
              </w:rPr>
              <w:t xml:space="preserve">30 </w:t>
            </w:r>
          </w:p>
        </w:tc>
      </w:tr>
      <w:tr w:rsidR="00DE1643" w:rsidRPr="0098717E" w14:paraId="6D85A5E2" w14:textId="77777777" w:rsidTr="00921407">
        <w:trPr>
          <w:trHeight w:val="292"/>
        </w:trPr>
        <w:tc>
          <w:tcPr>
            <w:tcW w:w="704" w:type="dxa"/>
            <w:vMerge w:val="restart"/>
            <w:shd w:val="clear" w:color="auto" w:fill="auto"/>
            <w:noWrap/>
            <w:textDirection w:val="btLr"/>
            <w:vAlign w:val="center"/>
            <w:hideMark/>
          </w:tcPr>
          <w:p w14:paraId="1F981A5E" w14:textId="77777777" w:rsidR="00DE1643" w:rsidRPr="00742442" w:rsidRDefault="00DE1643" w:rsidP="00921407">
            <w:pPr>
              <w:ind w:left="113" w:right="113"/>
              <w:jc w:val="center"/>
              <w:rPr>
                <w:rFonts w:ascii="Calibri" w:hAnsi="Calibri" w:cs="Calibri"/>
                <w:b/>
                <w:color w:val="000000"/>
                <w:sz w:val="20"/>
                <w:szCs w:val="20"/>
                <w:lang w:val="en-US" w:eastAsia="en-CA"/>
              </w:rPr>
            </w:pPr>
            <w:r w:rsidRPr="00742442">
              <w:rPr>
                <w:rFonts w:ascii="Calibri" w:hAnsi="Calibri" w:cs="Calibri"/>
                <w:b/>
                <w:color w:val="000000"/>
                <w:sz w:val="20"/>
                <w:szCs w:val="20"/>
                <w:lang w:val="en-US" w:eastAsia="en-CA"/>
              </w:rPr>
              <w:t>Antipsychotics</w:t>
            </w:r>
          </w:p>
        </w:tc>
        <w:tc>
          <w:tcPr>
            <w:tcW w:w="3841" w:type="dxa"/>
            <w:tcBorders>
              <w:right w:val="single" w:sz="12" w:space="0" w:color="auto"/>
            </w:tcBorders>
            <w:shd w:val="clear" w:color="auto" w:fill="auto"/>
            <w:noWrap/>
            <w:hideMark/>
          </w:tcPr>
          <w:p w14:paraId="29383C60" w14:textId="77777777" w:rsidR="00DE1643" w:rsidRPr="0098717E" w:rsidRDefault="00DE1643" w:rsidP="0098717E">
            <w:pPr>
              <w:rPr>
                <w:rFonts w:asciiTheme="minorHAnsi" w:hAnsiTheme="minorHAnsi" w:cstheme="minorHAnsi"/>
                <w:color w:val="000000"/>
                <w:sz w:val="20"/>
                <w:szCs w:val="20"/>
                <w:lang w:val="en-US" w:eastAsia="en-CA"/>
              </w:rPr>
            </w:pPr>
            <w:r w:rsidRPr="0098717E">
              <w:rPr>
                <w:rFonts w:asciiTheme="minorHAnsi" w:hAnsiTheme="minorHAnsi" w:cstheme="minorHAnsi"/>
                <w:color w:val="000000"/>
                <w:sz w:val="20"/>
                <w:szCs w:val="20"/>
                <w:lang w:val="en-US" w:eastAsia="en-CA"/>
              </w:rPr>
              <w:t>Quetiapine</w:t>
            </w:r>
          </w:p>
        </w:tc>
        <w:tc>
          <w:tcPr>
            <w:tcW w:w="1226" w:type="dxa"/>
            <w:tcBorders>
              <w:left w:val="single" w:sz="12" w:space="0" w:color="auto"/>
              <w:right w:val="single" w:sz="12" w:space="0" w:color="auto"/>
            </w:tcBorders>
            <w:shd w:val="clear" w:color="auto" w:fill="auto"/>
            <w:noWrap/>
            <w:hideMark/>
          </w:tcPr>
          <w:p w14:paraId="6D70F980" w14:textId="77777777" w:rsidR="00DE1643" w:rsidRPr="0098717E" w:rsidRDefault="00DE1643" w:rsidP="0098717E">
            <w:pPr>
              <w:jc w:val="right"/>
              <w:rPr>
                <w:rFonts w:asciiTheme="minorHAnsi" w:hAnsiTheme="minorHAnsi" w:cstheme="minorHAnsi"/>
                <w:color w:val="000000"/>
                <w:sz w:val="20"/>
                <w:szCs w:val="20"/>
                <w:lang w:val="en-US" w:eastAsia="en-CA"/>
              </w:rPr>
            </w:pPr>
            <w:r w:rsidRPr="0098717E">
              <w:rPr>
                <w:rFonts w:asciiTheme="minorHAnsi" w:hAnsiTheme="minorHAnsi" w:cstheme="minorHAnsi"/>
                <w:color w:val="000000"/>
                <w:sz w:val="20"/>
                <w:szCs w:val="20"/>
                <w:lang w:val="en-US" w:eastAsia="en-CA"/>
              </w:rPr>
              <w:t>0</w:t>
            </w:r>
          </w:p>
        </w:tc>
        <w:tc>
          <w:tcPr>
            <w:tcW w:w="1425" w:type="dxa"/>
            <w:tcBorders>
              <w:left w:val="single" w:sz="12" w:space="0" w:color="auto"/>
              <w:right w:val="single" w:sz="12" w:space="0" w:color="auto"/>
            </w:tcBorders>
            <w:shd w:val="clear" w:color="auto" w:fill="auto"/>
            <w:noWrap/>
            <w:hideMark/>
          </w:tcPr>
          <w:p w14:paraId="2220A068" w14:textId="371A5C8C" w:rsidR="00DE1643" w:rsidRPr="0098717E" w:rsidRDefault="008A78C9" w:rsidP="0098717E">
            <w:pPr>
              <w:jc w:val="right"/>
              <w:rPr>
                <w:rFonts w:asciiTheme="minorHAnsi" w:hAnsiTheme="minorHAnsi" w:cstheme="minorHAnsi"/>
                <w:color w:val="000000"/>
                <w:sz w:val="20"/>
                <w:szCs w:val="20"/>
                <w:lang w:val="en-US" w:eastAsia="en-CA"/>
              </w:rPr>
            </w:pPr>
            <w:r w:rsidRPr="0098717E">
              <w:rPr>
                <w:rFonts w:asciiTheme="minorHAnsi" w:hAnsiTheme="minorHAnsi" w:cstheme="minorHAnsi"/>
                <w:color w:val="000000"/>
                <w:sz w:val="20"/>
                <w:szCs w:val="20"/>
                <w:lang w:val="en-US" w:eastAsia="en-CA"/>
              </w:rPr>
              <w:t xml:space="preserve">1-49 </w:t>
            </w:r>
            <w:r w:rsidR="00DE1643" w:rsidRPr="0098717E">
              <w:rPr>
                <w:rFonts w:asciiTheme="minorHAnsi" w:hAnsiTheme="minorHAnsi" w:cstheme="minorHAnsi"/>
                <w:color w:val="000000"/>
                <w:sz w:val="20"/>
                <w:szCs w:val="20"/>
                <w:lang w:val="en-US" w:eastAsia="en-CA"/>
              </w:rPr>
              <w:t> </w:t>
            </w:r>
          </w:p>
        </w:tc>
        <w:tc>
          <w:tcPr>
            <w:tcW w:w="1595" w:type="dxa"/>
            <w:tcBorders>
              <w:left w:val="single" w:sz="12" w:space="0" w:color="auto"/>
            </w:tcBorders>
            <w:shd w:val="clear" w:color="auto" w:fill="auto"/>
            <w:noWrap/>
            <w:hideMark/>
          </w:tcPr>
          <w:p w14:paraId="58B687D4" w14:textId="5721EA37" w:rsidR="00DE1643" w:rsidRPr="0098717E" w:rsidRDefault="00DE1643" w:rsidP="0098717E">
            <w:pPr>
              <w:jc w:val="right"/>
              <w:rPr>
                <w:rFonts w:asciiTheme="minorHAnsi" w:hAnsiTheme="minorHAnsi" w:cstheme="minorHAnsi"/>
                <w:color w:val="000000"/>
                <w:sz w:val="20"/>
                <w:szCs w:val="20"/>
                <w:lang w:val="en-US" w:eastAsia="en-CA"/>
              </w:rPr>
            </w:pPr>
            <w:r w:rsidRPr="0098717E">
              <w:rPr>
                <w:rFonts w:asciiTheme="minorHAnsi" w:hAnsiTheme="minorHAnsi" w:cstheme="minorHAnsi"/>
                <w:color w:val="000000"/>
                <w:sz w:val="20"/>
                <w:szCs w:val="20"/>
                <w:lang w:val="en-US" w:eastAsia="en-CA"/>
              </w:rPr>
              <w:t> </w:t>
            </w:r>
            <w:r w:rsidR="0042395F" w:rsidRPr="0098717E">
              <w:rPr>
                <w:rFonts w:asciiTheme="minorHAnsi" w:hAnsiTheme="minorHAnsi" w:cstheme="minorHAnsi"/>
                <w:color w:val="000000"/>
                <w:sz w:val="20"/>
                <w:szCs w:val="20"/>
                <w:lang w:val="en-US" w:eastAsia="en-CA"/>
              </w:rPr>
              <w:sym w:font="Symbol" w:char="F0B3"/>
            </w:r>
            <w:r w:rsidR="008A78C9" w:rsidRPr="0098717E">
              <w:rPr>
                <w:rFonts w:asciiTheme="minorHAnsi" w:hAnsiTheme="minorHAnsi" w:cstheme="minorHAnsi"/>
                <w:color w:val="000000"/>
                <w:sz w:val="20"/>
                <w:szCs w:val="20"/>
                <w:lang w:val="en-US" w:eastAsia="en-CA"/>
              </w:rPr>
              <w:t xml:space="preserve">50 </w:t>
            </w:r>
          </w:p>
        </w:tc>
      </w:tr>
      <w:tr w:rsidR="00DE1643" w:rsidRPr="0098717E" w14:paraId="46017DB0" w14:textId="77777777" w:rsidTr="00921407">
        <w:trPr>
          <w:trHeight w:val="292"/>
        </w:trPr>
        <w:tc>
          <w:tcPr>
            <w:tcW w:w="704" w:type="dxa"/>
            <w:vMerge/>
            <w:textDirection w:val="btLr"/>
            <w:vAlign w:val="center"/>
            <w:hideMark/>
          </w:tcPr>
          <w:p w14:paraId="3B39AF16" w14:textId="77777777" w:rsidR="00DE1643" w:rsidRPr="00742442" w:rsidRDefault="00DE1643" w:rsidP="00921407">
            <w:pPr>
              <w:ind w:left="113" w:right="113"/>
              <w:rPr>
                <w:rFonts w:ascii="Calibri" w:hAnsi="Calibri" w:cs="Calibri"/>
                <w:b/>
                <w:color w:val="000000"/>
                <w:sz w:val="20"/>
                <w:szCs w:val="20"/>
                <w:lang w:val="en-US" w:eastAsia="en-CA"/>
              </w:rPr>
            </w:pPr>
          </w:p>
        </w:tc>
        <w:tc>
          <w:tcPr>
            <w:tcW w:w="3841" w:type="dxa"/>
            <w:tcBorders>
              <w:right w:val="single" w:sz="12" w:space="0" w:color="auto"/>
            </w:tcBorders>
            <w:shd w:val="clear" w:color="auto" w:fill="auto"/>
            <w:noWrap/>
            <w:hideMark/>
          </w:tcPr>
          <w:p w14:paraId="2EFEACB2" w14:textId="77777777" w:rsidR="00DE1643" w:rsidRPr="0098717E" w:rsidRDefault="00DE1643" w:rsidP="0098717E">
            <w:pPr>
              <w:rPr>
                <w:rFonts w:asciiTheme="minorHAnsi" w:hAnsiTheme="minorHAnsi" w:cstheme="minorHAnsi"/>
                <w:color w:val="000000"/>
                <w:sz w:val="20"/>
                <w:szCs w:val="20"/>
                <w:lang w:val="en-US" w:eastAsia="en-CA"/>
              </w:rPr>
            </w:pPr>
            <w:r w:rsidRPr="0098717E">
              <w:rPr>
                <w:rFonts w:asciiTheme="minorHAnsi" w:hAnsiTheme="minorHAnsi" w:cstheme="minorHAnsi"/>
                <w:color w:val="000000"/>
                <w:sz w:val="20"/>
                <w:szCs w:val="20"/>
                <w:lang w:val="en-US" w:eastAsia="en-CA"/>
              </w:rPr>
              <w:t>Olanzapine</w:t>
            </w:r>
          </w:p>
        </w:tc>
        <w:tc>
          <w:tcPr>
            <w:tcW w:w="1226" w:type="dxa"/>
            <w:tcBorders>
              <w:left w:val="single" w:sz="12" w:space="0" w:color="auto"/>
              <w:right w:val="single" w:sz="12" w:space="0" w:color="auto"/>
            </w:tcBorders>
            <w:shd w:val="clear" w:color="auto" w:fill="auto"/>
            <w:noWrap/>
            <w:hideMark/>
          </w:tcPr>
          <w:p w14:paraId="7B33EA00" w14:textId="77777777" w:rsidR="00DE1643" w:rsidRPr="0098717E" w:rsidRDefault="00DE1643" w:rsidP="0098717E">
            <w:pPr>
              <w:jc w:val="right"/>
              <w:rPr>
                <w:rFonts w:asciiTheme="minorHAnsi" w:hAnsiTheme="minorHAnsi" w:cstheme="minorHAnsi"/>
                <w:color w:val="000000"/>
                <w:sz w:val="20"/>
                <w:szCs w:val="20"/>
                <w:lang w:val="en-US" w:eastAsia="en-CA"/>
              </w:rPr>
            </w:pPr>
            <w:r w:rsidRPr="0098717E">
              <w:rPr>
                <w:rFonts w:asciiTheme="minorHAnsi" w:hAnsiTheme="minorHAnsi" w:cstheme="minorHAnsi"/>
                <w:color w:val="000000"/>
                <w:sz w:val="20"/>
                <w:szCs w:val="20"/>
                <w:lang w:val="en-US" w:eastAsia="en-CA"/>
              </w:rPr>
              <w:t>0</w:t>
            </w:r>
          </w:p>
        </w:tc>
        <w:tc>
          <w:tcPr>
            <w:tcW w:w="1425" w:type="dxa"/>
            <w:tcBorders>
              <w:left w:val="single" w:sz="12" w:space="0" w:color="auto"/>
              <w:right w:val="single" w:sz="12" w:space="0" w:color="auto"/>
            </w:tcBorders>
            <w:shd w:val="clear" w:color="auto" w:fill="auto"/>
            <w:noWrap/>
            <w:hideMark/>
          </w:tcPr>
          <w:p w14:paraId="11A4EAD4" w14:textId="4C37BE4E" w:rsidR="00DE1643" w:rsidRPr="0098717E" w:rsidRDefault="0042395F" w:rsidP="0098717E">
            <w:pPr>
              <w:jc w:val="right"/>
              <w:rPr>
                <w:rFonts w:asciiTheme="minorHAnsi" w:hAnsiTheme="minorHAnsi" w:cstheme="minorHAnsi"/>
                <w:color w:val="000000"/>
                <w:sz w:val="20"/>
                <w:szCs w:val="20"/>
                <w:lang w:val="en-US" w:eastAsia="en-CA"/>
              </w:rPr>
            </w:pPr>
            <w:r w:rsidRPr="0098717E">
              <w:rPr>
                <w:rFonts w:asciiTheme="minorHAnsi" w:hAnsiTheme="minorHAnsi" w:cstheme="minorHAnsi"/>
                <w:color w:val="000000"/>
                <w:sz w:val="20"/>
                <w:szCs w:val="20"/>
                <w:lang w:val="en-US" w:eastAsia="en-CA"/>
              </w:rPr>
              <w:t>&lt;10  </w:t>
            </w:r>
          </w:p>
        </w:tc>
        <w:tc>
          <w:tcPr>
            <w:tcW w:w="1595" w:type="dxa"/>
            <w:tcBorders>
              <w:left w:val="single" w:sz="12" w:space="0" w:color="auto"/>
            </w:tcBorders>
            <w:shd w:val="clear" w:color="auto" w:fill="auto"/>
            <w:noWrap/>
            <w:hideMark/>
          </w:tcPr>
          <w:p w14:paraId="7ED17EFC" w14:textId="5D0A25C6" w:rsidR="00DE1643" w:rsidRPr="0098717E" w:rsidRDefault="0042395F" w:rsidP="0098717E">
            <w:pPr>
              <w:jc w:val="right"/>
              <w:rPr>
                <w:rFonts w:asciiTheme="minorHAnsi" w:hAnsiTheme="minorHAnsi" w:cstheme="minorHAnsi"/>
                <w:sz w:val="20"/>
                <w:szCs w:val="20"/>
                <w:lang w:val="en-US" w:eastAsia="en-CA"/>
              </w:rPr>
            </w:pPr>
            <w:r w:rsidRPr="0098717E">
              <w:rPr>
                <w:rFonts w:asciiTheme="minorHAnsi" w:hAnsiTheme="minorHAnsi" w:cstheme="minorHAnsi"/>
                <w:color w:val="000000"/>
                <w:sz w:val="20"/>
                <w:szCs w:val="20"/>
                <w:lang w:val="en-US" w:eastAsia="en-CA"/>
              </w:rPr>
              <w:sym w:font="Symbol" w:char="F0B3"/>
            </w:r>
            <w:r w:rsidRPr="0098717E">
              <w:rPr>
                <w:rFonts w:asciiTheme="minorHAnsi" w:hAnsiTheme="minorHAnsi" w:cstheme="minorHAnsi"/>
                <w:color w:val="000000"/>
                <w:sz w:val="20"/>
                <w:szCs w:val="20"/>
                <w:lang w:val="en-US" w:eastAsia="en-CA"/>
              </w:rPr>
              <w:t xml:space="preserve">10 </w:t>
            </w:r>
          </w:p>
        </w:tc>
      </w:tr>
      <w:tr w:rsidR="00DE1643" w:rsidRPr="0098717E" w14:paraId="7B6528F0" w14:textId="77777777" w:rsidTr="00921407">
        <w:trPr>
          <w:trHeight w:val="292"/>
        </w:trPr>
        <w:tc>
          <w:tcPr>
            <w:tcW w:w="704" w:type="dxa"/>
            <w:vMerge/>
            <w:textDirection w:val="btLr"/>
            <w:vAlign w:val="center"/>
            <w:hideMark/>
          </w:tcPr>
          <w:p w14:paraId="423F9165" w14:textId="77777777" w:rsidR="00DE1643" w:rsidRPr="00742442" w:rsidRDefault="00DE1643" w:rsidP="00921407">
            <w:pPr>
              <w:ind w:left="113" w:right="113"/>
              <w:rPr>
                <w:rFonts w:ascii="Calibri" w:hAnsi="Calibri" w:cs="Calibri"/>
                <w:b/>
                <w:color w:val="000000"/>
                <w:sz w:val="20"/>
                <w:szCs w:val="20"/>
                <w:lang w:val="en-US" w:eastAsia="en-CA"/>
              </w:rPr>
            </w:pPr>
          </w:p>
        </w:tc>
        <w:tc>
          <w:tcPr>
            <w:tcW w:w="3841" w:type="dxa"/>
            <w:tcBorders>
              <w:right w:val="single" w:sz="12" w:space="0" w:color="auto"/>
            </w:tcBorders>
            <w:shd w:val="clear" w:color="auto" w:fill="auto"/>
            <w:noWrap/>
            <w:hideMark/>
          </w:tcPr>
          <w:p w14:paraId="1BB99BF9" w14:textId="77777777" w:rsidR="00DE1643" w:rsidRPr="0098717E" w:rsidRDefault="00DE1643" w:rsidP="0098717E">
            <w:pPr>
              <w:rPr>
                <w:rFonts w:asciiTheme="minorHAnsi" w:hAnsiTheme="minorHAnsi" w:cstheme="minorHAnsi"/>
                <w:color w:val="000000"/>
                <w:sz w:val="20"/>
                <w:szCs w:val="20"/>
                <w:lang w:val="en-US" w:eastAsia="en-CA"/>
              </w:rPr>
            </w:pPr>
            <w:r w:rsidRPr="0098717E">
              <w:rPr>
                <w:rFonts w:asciiTheme="minorHAnsi" w:hAnsiTheme="minorHAnsi" w:cstheme="minorHAnsi"/>
                <w:color w:val="000000"/>
                <w:sz w:val="20"/>
                <w:szCs w:val="20"/>
                <w:lang w:val="en-US" w:eastAsia="en-CA"/>
              </w:rPr>
              <w:t>Risperidone</w:t>
            </w:r>
          </w:p>
        </w:tc>
        <w:tc>
          <w:tcPr>
            <w:tcW w:w="1226" w:type="dxa"/>
            <w:tcBorders>
              <w:left w:val="single" w:sz="12" w:space="0" w:color="auto"/>
              <w:right w:val="single" w:sz="12" w:space="0" w:color="auto"/>
            </w:tcBorders>
            <w:shd w:val="clear" w:color="auto" w:fill="auto"/>
            <w:noWrap/>
            <w:hideMark/>
          </w:tcPr>
          <w:p w14:paraId="3AA14F7D" w14:textId="77777777" w:rsidR="00DE1643" w:rsidRPr="0098717E" w:rsidRDefault="00DE1643" w:rsidP="0098717E">
            <w:pPr>
              <w:jc w:val="right"/>
              <w:rPr>
                <w:rFonts w:asciiTheme="minorHAnsi" w:hAnsiTheme="minorHAnsi" w:cstheme="minorHAnsi"/>
                <w:color w:val="000000"/>
                <w:sz w:val="20"/>
                <w:szCs w:val="20"/>
                <w:lang w:val="en-US" w:eastAsia="en-CA"/>
              </w:rPr>
            </w:pPr>
            <w:r w:rsidRPr="0098717E">
              <w:rPr>
                <w:rFonts w:asciiTheme="minorHAnsi" w:hAnsiTheme="minorHAnsi" w:cstheme="minorHAnsi"/>
                <w:color w:val="000000"/>
                <w:sz w:val="20"/>
                <w:szCs w:val="20"/>
                <w:lang w:val="en-US" w:eastAsia="en-CA"/>
              </w:rPr>
              <w:t>0</w:t>
            </w:r>
          </w:p>
        </w:tc>
        <w:tc>
          <w:tcPr>
            <w:tcW w:w="1425" w:type="dxa"/>
            <w:tcBorders>
              <w:left w:val="single" w:sz="12" w:space="0" w:color="auto"/>
              <w:right w:val="single" w:sz="12" w:space="0" w:color="auto"/>
            </w:tcBorders>
            <w:shd w:val="clear" w:color="auto" w:fill="auto"/>
            <w:noWrap/>
            <w:hideMark/>
          </w:tcPr>
          <w:p w14:paraId="59733272" w14:textId="04598B18" w:rsidR="00DE1643" w:rsidRPr="0098717E" w:rsidRDefault="0042395F" w:rsidP="0098717E">
            <w:pPr>
              <w:jc w:val="right"/>
              <w:rPr>
                <w:rFonts w:asciiTheme="minorHAnsi" w:hAnsiTheme="minorHAnsi" w:cstheme="minorHAnsi"/>
                <w:color w:val="000000"/>
                <w:sz w:val="20"/>
                <w:szCs w:val="20"/>
                <w:lang w:val="en-US" w:eastAsia="en-CA"/>
              </w:rPr>
            </w:pPr>
            <w:r w:rsidRPr="0098717E">
              <w:rPr>
                <w:rFonts w:asciiTheme="minorHAnsi" w:hAnsiTheme="minorHAnsi" w:cstheme="minorHAnsi"/>
                <w:color w:val="000000"/>
                <w:sz w:val="20"/>
                <w:szCs w:val="20"/>
                <w:lang w:val="en-US" w:eastAsia="en-CA"/>
              </w:rPr>
              <w:t>&lt;2  </w:t>
            </w:r>
          </w:p>
        </w:tc>
        <w:tc>
          <w:tcPr>
            <w:tcW w:w="1595" w:type="dxa"/>
            <w:tcBorders>
              <w:left w:val="single" w:sz="12" w:space="0" w:color="auto"/>
            </w:tcBorders>
            <w:shd w:val="clear" w:color="auto" w:fill="auto"/>
            <w:noWrap/>
            <w:hideMark/>
          </w:tcPr>
          <w:p w14:paraId="3363168F" w14:textId="30CFA58C" w:rsidR="00DE1643" w:rsidRPr="0098717E" w:rsidRDefault="0042395F" w:rsidP="0098717E">
            <w:pPr>
              <w:jc w:val="right"/>
              <w:rPr>
                <w:rFonts w:asciiTheme="minorHAnsi" w:hAnsiTheme="minorHAnsi" w:cstheme="minorHAnsi"/>
                <w:sz w:val="20"/>
                <w:szCs w:val="20"/>
                <w:lang w:val="en-US" w:eastAsia="en-CA"/>
              </w:rPr>
            </w:pPr>
            <w:r w:rsidRPr="0098717E">
              <w:rPr>
                <w:rFonts w:asciiTheme="minorHAnsi" w:hAnsiTheme="minorHAnsi" w:cstheme="minorHAnsi"/>
                <w:color w:val="000000"/>
                <w:sz w:val="20"/>
                <w:szCs w:val="20"/>
                <w:lang w:val="en-US" w:eastAsia="en-CA"/>
              </w:rPr>
              <w:sym w:font="Symbol" w:char="F0B3"/>
            </w:r>
            <w:r w:rsidRPr="0098717E">
              <w:rPr>
                <w:rFonts w:asciiTheme="minorHAnsi" w:hAnsiTheme="minorHAnsi" w:cstheme="minorHAnsi"/>
                <w:color w:val="000000"/>
                <w:sz w:val="20"/>
                <w:szCs w:val="20"/>
                <w:lang w:val="en-US" w:eastAsia="en-CA"/>
              </w:rPr>
              <w:t xml:space="preserve">2 </w:t>
            </w:r>
          </w:p>
        </w:tc>
      </w:tr>
      <w:tr w:rsidR="00DE1643" w:rsidRPr="0098717E" w14:paraId="2B152514" w14:textId="77777777" w:rsidTr="00921407">
        <w:trPr>
          <w:trHeight w:val="292"/>
        </w:trPr>
        <w:tc>
          <w:tcPr>
            <w:tcW w:w="704" w:type="dxa"/>
            <w:vMerge/>
            <w:textDirection w:val="btLr"/>
            <w:vAlign w:val="center"/>
            <w:hideMark/>
          </w:tcPr>
          <w:p w14:paraId="72E079D8" w14:textId="77777777" w:rsidR="00DE1643" w:rsidRPr="00742442" w:rsidRDefault="00DE1643" w:rsidP="00921407">
            <w:pPr>
              <w:ind w:left="113" w:right="113"/>
              <w:rPr>
                <w:rFonts w:ascii="Calibri" w:hAnsi="Calibri" w:cs="Calibri"/>
                <w:b/>
                <w:color w:val="000000"/>
                <w:sz w:val="20"/>
                <w:szCs w:val="20"/>
                <w:lang w:val="en-US" w:eastAsia="en-CA"/>
              </w:rPr>
            </w:pPr>
          </w:p>
        </w:tc>
        <w:tc>
          <w:tcPr>
            <w:tcW w:w="3841" w:type="dxa"/>
            <w:tcBorders>
              <w:right w:val="single" w:sz="12" w:space="0" w:color="auto"/>
            </w:tcBorders>
            <w:shd w:val="clear" w:color="auto" w:fill="auto"/>
            <w:noWrap/>
            <w:hideMark/>
          </w:tcPr>
          <w:p w14:paraId="28AF3AA6" w14:textId="77777777" w:rsidR="00DE1643" w:rsidRPr="0098717E" w:rsidRDefault="0042395F" w:rsidP="0098717E">
            <w:pPr>
              <w:rPr>
                <w:rFonts w:asciiTheme="minorHAnsi" w:hAnsiTheme="minorHAnsi" w:cstheme="minorHAnsi"/>
                <w:sz w:val="20"/>
                <w:szCs w:val="20"/>
                <w:lang w:val="en-US" w:eastAsia="en-CA"/>
              </w:rPr>
            </w:pPr>
            <w:r w:rsidRPr="0098717E">
              <w:rPr>
                <w:rFonts w:asciiTheme="minorHAnsi" w:hAnsiTheme="minorHAnsi" w:cstheme="minorHAnsi"/>
                <w:sz w:val="20"/>
                <w:szCs w:val="20"/>
                <w:lang w:val="en-US" w:eastAsia="en-CA"/>
              </w:rPr>
              <w:t>Aripiprazole</w:t>
            </w:r>
          </w:p>
        </w:tc>
        <w:tc>
          <w:tcPr>
            <w:tcW w:w="1226" w:type="dxa"/>
            <w:tcBorders>
              <w:left w:val="single" w:sz="12" w:space="0" w:color="auto"/>
              <w:right w:val="single" w:sz="12" w:space="0" w:color="auto"/>
            </w:tcBorders>
            <w:shd w:val="clear" w:color="auto" w:fill="auto"/>
            <w:noWrap/>
            <w:hideMark/>
          </w:tcPr>
          <w:p w14:paraId="6569AA6D" w14:textId="77777777" w:rsidR="00DE1643" w:rsidRPr="0098717E" w:rsidRDefault="0042395F" w:rsidP="0098717E">
            <w:pPr>
              <w:jc w:val="right"/>
              <w:rPr>
                <w:rFonts w:asciiTheme="minorHAnsi" w:hAnsiTheme="minorHAnsi" w:cstheme="minorHAnsi"/>
                <w:sz w:val="20"/>
                <w:szCs w:val="20"/>
                <w:lang w:val="en-US" w:eastAsia="en-CA"/>
              </w:rPr>
            </w:pPr>
            <w:r w:rsidRPr="0098717E">
              <w:rPr>
                <w:rFonts w:asciiTheme="minorHAnsi" w:hAnsiTheme="minorHAnsi" w:cstheme="minorHAnsi"/>
                <w:sz w:val="20"/>
                <w:szCs w:val="20"/>
                <w:lang w:val="en-US" w:eastAsia="en-CA"/>
              </w:rPr>
              <w:t>0</w:t>
            </w:r>
          </w:p>
        </w:tc>
        <w:tc>
          <w:tcPr>
            <w:tcW w:w="1425" w:type="dxa"/>
            <w:tcBorders>
              <w:left w:val="single" w:sz="12" w:space="0" w:color="auto"/>
              <w:right w:val="single" w:sz="12" w:space="0" w:color="auto"/>
            </w:tcBorders>
            <w:shd w:val="clear" w:color="auto" w:fill="auto"/>
            <w:noWrap/>
            <w:hideMark/>
          </w:tcPr>
          <w:p w14:paraId="21BBF350" w14:textId="32B60223" w:rsidR="00DE1643" w:rsidRPr="0098717E" w:rsidRDefault="0042395F" w:rsidP="0098717E">
            <w:pPr>
              <w:jc w:val="right"/>
              <w:rPr>
                <w:rFonts w:asciiTheme="minorHAnsi" w:hAnsiTheme="minorHAnsi" w:cstheme="minorHAnsi"/>
                <w:sz w:val="20"/>
                <w:szCs w:val="20"/>
                <w:lang w:val="en-US" w:eastAsia="en-CA"/>
              </w:rPr>
            </w:pPr>
            <w:r w:rsidRPr="0098717E">
              <w:rPr>
                <w:rFonts w:asciiTheme="minorHAnsi" w:hAnsiTheme="minorHAnsi" w:cstheme="minorHAnsi"/>
                <w:color w:val="000000"/>
                <w:sz w:val="20"/>
                <w:szCs w:val="20"/>
                <w:lang w:val="en-US" w:eastAsia="en-CA"/>
              </w:rPr>
              <w:t>&lt;1.5  </w:t>
            </w:r>
          </w:p>
        </w:tc>
        <w:tc>
          <w:tcPr>
            <w:tcW w:w="1595" w:type="dxa"/>
            <w:tcBorders>
              <w:left w:val="single" w:sz="12" w:space="0" w:color="auto"/>
            </w:tcBorders>
            <w:shd w:val="clear" w:color="auto" w:fill="auto"/>
            <w:noWrap/>
            <w:hideMark/>
          </w:tcPr>
          <w:p w14:paraId="42720420" w14:textId="59C2AE7E" w:rsidR="00DE1643" w:rsidRPr="0098717E" w:rsidRDefault="0042395F" w:rsidP="0098717E">
            <w:pPr>
              <w:jc w:val="right"/>
              <w:rPr>
                <w:rFonts w:asciiTheme="minorHAnsi" w:hAnsiTheme="minorHAnsi" w:cstheme="minorHAnsi"/>
                <w:sz w:val="20"/>
                <w:szCs w:val="20"/>
                <w:lang w:val="en-US" w:eastAsia="en-CA"/>
              </w:rPr>
            </w:pPr>
            <w:r w:rsidRPr="0098717E">
              <w:rPr>
                <w:rFonts w:asciiTheme="minorHAnsi" w:hAnsiTheme="minorHAnsi" w:cstheme="minorHAnsi"/>
                <w:color w:val="000000"/>
                <w:sz w:val="20"/>
                <w:szCs w:val="20"/>
                <w:lang w:val="en-US" w:eastAsia="en-CA"/>
              </w:rPr>
              <w:sym w:font="Symbol" w:char="F0B3"/>
            </w:r>
            <w:r w:rsidRPr="0098717E">
              <w:rPr>
                <w:rFonts w:asciiTheme="minorHAnsi" w:hAnsiTheme="minorHAnsi" w:cstheme="minorHAnsi"/>
                <w:color w:val="000000"/>
                <w:sz w:val="20"/>
                <w:szCs w:val="20"/>
                <w:lang w:val="en-US" w:eastAsia="en-CA"/>
              </w:rPr>
              <w:t xml:space="preserve">1.5 </w:t>
            </w:r>
          </w:p>
        </w:tc>
      </w:tr>
      <w:tr w:rsidR="008D32EF" w:rsidRPr="0098717E" w14:paraId="2284B040" w14:textId="77777777" w:rsidTr="00921407">
        <w:trPr>
          <w:trHeight w:val="292"/>
        </w:trPr>
        <w:tc>
          <w:tcPr>
            <w:tcW w:w="704" w:type="dxa"/>
            <w:vMerge/>
            <w:textDirection w:val="btLr"/>
            <w:vAlign w:val="center"/>
            <w:hideMark/>
          </w:tcPr>
          <w:p w14:paraId="653C47DB" w14:textId="77777777" w:rsidR="008D32EF" w:rsidRPr="00742442" w:rsidRDefault="008D32EF" w:rsidP="00921407">
            <w:pPr>
              <w:ind w:left="113" w:right="113"/>
              <w:rPr>
                <w:rFonts w:ascii="Calibri" w:hAnsi="Calibri" w:cs="Calibri"/>
                <w:b/>
                <w:color w:val="000000"/>
                <w:sz w:val="20"/>
                <w:szCs w:val="20"/>
                <w:lang w:val="en-US" w:eastAsia="en-CA"/>
              </w:rPr>
            </w:pPr>
          </w:p>
        </w:tc>
        <w:tc>
          <w:tcPr>
            <w:tcW w:w="3841" w:type="dxa"/>
            <w:tcBorders>
              <w:right w:val="single" w:sz="12" w:space="0" w:color="auto"/>
            </w:tcBorders>
            <w:shd w:val="clear" w:color="auto" w:fill="auto"/>
            <w:noWrap/>
            <w:hideMark/>
          </w:tcPr>
          <w:p w14:paraId="39C5425B" w14:textId="6AFC61AD" w:rsidR="008D32EF" w:rsidRPr="0098717E" w:rsidRDefault="008D32EF" w:rsidP="0098717E">
            <w:pPr>
              <w:rPr>
                <w:rFonts w:asciiTheme="minorHAnsi" w:hAnsiTheme="minorHAnsi" w:cstheme="minorHAnsi"/>
                <w:sz w:val="20"/>
                <w:szCs w:val="20"/>
                <w:lang w:val="en-US"/>
              </w:rPr>
            </w:pPr>
            <w:proofErr w:type="spellStart"/>
            <w:r w:rsidRPr="0098717E">
              <w:rPr>
                <w:rFonts w:asciiTheme="minorHAnsi" w:hAnsiTheme="minorHAnsi" w:cstheme="minorHAnsi"/>
                <w:sz w:val="20"/>
                <w:szCs w:val="20"/>
                <w:lang w:val="en-US"/>
              </w:rPr>
              <w:t>Amisulpride</w:t>
            </w:r>
            <w:proofErr w:type="spellEnd"/>
          </w:p>
        </w:tc>
        <w:tc>
          <w:tcPr>
            <w:tcW w:w="1226" w:type="dxa"/>
            <w:tcBorders>
              <w:left w:val="single" w:sz="12" w:space="0" w:color="auto"/>
              <w:right w:val="single" w:sz="12" w:space="0" w:color="auto"/>
            </w:tcBorders>
            <w:shd w:val="clear" w:color="auto" w:fill="auto"/>
            <w:noWrap/>
            <w:hideMark/>
          </w:tcPr>
          <w:p w14:paraId="5F8F600B" w14:textId="77777777" w:rsidR="008D32EF" w:rsidRPr="0098717E" w:rsidRDefault="008D32EF" w:rsidP="0098717E">
            <w:pPr>
              <w:jc w:val="right"/>
              <w:rPr>
                <w:rFonts w:asciiTheme="minorHAnsi" w:hAnsiTheme="minorHAnsi" w:cstheme="minorHAnsi"/>
                <w:sz w:val="20"/>
                <w:szCs w:val="20"/>
                <w:lang w:val="en-US" w:eastAsia="en-CA"/>
              </w:rPr>
            </w:pPr>
            <w:r w:rsidRPr="0098717E">
              <w:rPr>
                <w:rFonts w:asciiTheme="minorHAnsi" w:hAnsiTheme="minorHAnsi" w:cstheme="minorHAnsi"/>
                <w:sz w:val="20"/>
                <w:szCs w:val="20"/>
                <w:lang w:val="en-US" w:eastAsia="en-CA"/>
              </w:rPr>
              <w:t>0</w:t>
            </w:r>
          </w:p>
        </w:tc>
        <w:tc>
          <w:tcPr>
            <w:tcW w:w="1425" w:type="dxa"/>
            <w:tcBorders>
              <w:left w:val="single" w:sz="12" w:space="0" w:color="auto"/>
              <w:right w:val="single" w:sz="12" w:space="0" w:color="auto"/>
            </w:tcBorders>
            <w:shd w:val="clear" w:color="auto" w:fill="auto"/>
            <w:noWrap/>
            <w:hideMark/>
          </w:tcPr>
          <w:p w14:paraId="1A646EAC" w14:textId="6A1062CD" w:rsidR="008D32EF" w:rsidRPr="0098717E" w:rsidRDefault="008D32EF" w:rsidP="0098717E">
            <w:pPr>
              <w:jc w:val="right"/>
              <w:rPr>
                <w:rFonts w:asciiTheme="minorHAnsi" w:hAnsiTheme="minorHAnsi" w:cstheme="minorHAnsi"/>
                <w:sz w:val="20"/>
                <w:szCs w:val="20"/>
                <w:lang w:val="en-US" w:eastAsia="en-CA"/>
              </w:rPr>
            </w:pPr>
            <w:r w:rsidRPr="0098717E">
              <w:rPr>
                <w:rFonts w:asciiTheme="minorHAnsi" w:hAnsiTheme="minorHAnsi" w:cstheme="minorHAnsi"/>
                <w:color w:val="000000"/>
                <w:sz w:val="20"/>
                <w:szCs w:val="20"/>
                <w:lang w:val="en-US" w:eastAsia="en-CA"/>
              </w:rPr>
              <w:t>1-49  </w:t>
            </w:r>
          </w:p>
        </w:tc>
        <w:tc>
          <w:tcPr>
            <w:tcW w:w="1595" w:type="dxa"/>
            <w:tcBorders>
              <w:left w:val="single" w:sz="12" w:space="0" w:color="auto"/>
            </w:tcBorders>
            <w:shd w:val="clear" w:color="auto" w:fill="auto"/>
            <w:noWrap/>
            <w:hideMark/>
          </w:tcPr>
          <w:p w14:paraId="19F68CCF" w14:textId="370FFBD1" w:rsidR="008D32EF" w:rsidRPr="0098717E" w:rsidRDefault="008D32EF" w:rsidP="0098717E">
            <w:pPr>
              <w:jc w:val="right"/>
              <w:rPr>
                <w:rFonts w:asciiTheme="minorHAnsi" w:hAnsiTheme="minorHAnsi" w:cstheme="minorHAnsi"/>
                <w:sz w:val="20"/>
                <w:szCs w:val="20"/>
                <w:lang w:val="en-US" w:eastAsia="en-CA"/>
              </w:rPr>
            </w:pPr>
            <w:r w:rsidRPr="0098717E">
              <w:rPr>
                <w:rFonts w:asciiTheme="minorHAnsi" w:hAnsiTheme="minorHAnsi" w:cstheme="minorHAnsi"/>
                <w:color w:val="000000"/>
                <w:sz w:val="20"/>
                <w:szCs w:val="20"/>
                <w:lang w:val="en-US" w:eastAsia="en-CA"/>
              </w:rPr>
              <w:sym w:font="Symbol" w:char="F0B3"/>
            </w:r>
            <w:r w:rsidRPr="0098717E">
              <w:rPr>
                <w:rFonts w:asciiTheme="minorHAnsi" w:hAnsiTheme="minorHAnsi" w:cstheme="minorHAnsi"/>
                <w:color w:val="000000"/>
                <w:sz w:val="20"/>
                <w:szCs w:val="20"/>
                <w:lang w:val="en-US" w:eastAsia="en-CA"/>
              </w:rPr>
              <w:t xml:space="preserve">50 </w:t>
            </w:r>
          </w:p>
        </w:tc>
      </w:tr>
      <w:tr w:rsidR="00B815A9" w:rsidRPr="0098717E" w14:paraId="2C2B02F3" w14:textId="77777777" w:rsidTr="00403A32">
        <w:trPr>
          <w:trHeight w:val="355"/>
        </w:trPr>
        <w:tc>
          <w:tcPr>
            <w:tcW w:w="704" w:type="dxa"/>
            <w:vMerge w:val="restart"/>
            <w:shd w:val="clear" w:color="auto" w:fill="auto"/>
            <w:noWrap/>
            <w:textDirection w:val="btLr"/>
            <w:vAlign w:val="center"/>
            <w:hideMark/>
          </w:tcPr>
          <w:p w14:paraId="2CD9E308" w14:textId="3EBBB88F" w:rsidR="00B815A9" w:rsidRPr="00742442" w:rsidRDefault="00921407" w:rsidP="00921407">
            <w:pPr>
              <w:ind w:left="113" w:right="113"/>
              <w:jc w:val="center"/>
              <w:rPr>
                <w:rFonts w:ascii="Calibri" w:hAnsi="Calibri" w:cs="Calibri"/>
                <w:b/>
                <w:color w:val="000000"/>
                <w:sz w:val="20"/>
                <w:szCs w:val="20"/>
                <w:lang w:val="en-US" w:eastAsia="en-CA"/>
              </w:rPr>
            </w:pPr>
            <w:r w:rsidRPr="00742442">
              <w:rPr>
                <w:rFonts w:ascii="Calibri" w:hAnsi="Calibri" w:cs="Calibri"/>
                <w:b/>
                <w:color w:val="000000"/>
                <w:sz w:val="20"/>
                <w:szCs w:val="20"/>
                <w:lang w:val="en-US" w:eastAsia="en-CA"/>
              </w:rPr>
              <w:t xml:space="preserve">Miscellaneous </w:t>
            </w:r>
          </w:p>
        </w:tc>
        <w:tc>
          <w:tcPr>
            <w:tcW w:w="3841" w:type="dxa"/>
            <w:tcBorders>
              <w:right w:val="single" w:sz="12" w:space="0" w:color="auto"/>
            </w:tcBorders>
            <w:shd w:val="clear" w:color="auto" w:fill="auto"/>
            <w:noWrap/>
            <w:hideMark/>
          </w:tcPr>
          <w:p w14:paraId="3DE76B78" w14:textId="77777777" w:rsidR="00B815A9" w:rsidRPr="0098717E" w:rsidRDefault="00B815A9" w:rsidP="0098717E">
            <w:pPr>
              <w:rPr>
                <w:rFonts w:asciiTheme="minorHAnsi" w:hAnsiTheme="minorHAnsi" w:cstheme="minorHAnsi"/>
                <w:color w:val="000000"/>
                <w:sz w:val="20"/>
                <w:szCs w:val="20"/>
                <w:lang w:val="en-US" w:eastAsia="en-CA"/>
              </w:rPr>
            </w:pPr>
            <w:r w:rsidRPr="0098717E">
              <w:rPr>
                <w:rFonts w:asciiTheme="minorHAnsi" w:hAnsiTheme="minorHAnsi" w:cstheme="minorHAnsi"/>
                <w:color w:val="000000"/>
                <w:sz w:val="20"/>
                <w:szCs w:val="20"/>
                <w:lang w:val="en-US" w:eastAsia="en-CA"/>
              </w:rPr>
              <w:t>Methylphenidate</w:t>
            </w:r>
          </w:p>
        </w:tc>
        <w:tc>
          <w:tcPr>
            <w:tcW w:w="1226" w:type="dxa"/>
            <w:tcBorders>
              <w:left w:val="single" w:sz="12" w:space="0" w:color="auto"/>
              <w:right w:val="single" w:sz="12" w:space="0" w:color="auto"/>
            </w:tcBorders>
            <w:shd w:val="clear" w:color="auto" w:fill="auto"/>
            <w:noWrap/>
            <w:hideMark/>
          </w:tcPr>
          <w:p w14:paraId="7212B1F5" w14:textId="77777777" w:rsidR="00B815A9" w:rsidRPr="0098717E" w:rsidRDefault="00B815A9" w:rsidP="0098717E">
            <w:pPr>
              <w:jc w:val="right"/>
              <w:rPr>
                <w:rFonts w:asciiTheme="minorHAnsi" w:hAnsiTheme="minorHAnsi" w:cstheme="minorHAnsi"/>
                <w:color w:val="000000"/>
                <w:sz w:val="20"/>
                <w:szCs w:val="20"/>
                <w:lang w:val="en-US" w:eastAsia="en-CA"/>
              </w:rPr>
            </w:pPr>
            <w:r w:rsidRPr="0098717E">
              <w:rPr>
                <w:rFonts w:asciiTheme="minorHAnsi" w:hAnsiTheme="minorHAnsi" w:cstheme="minorHAnsi"/>
                <w:color w:val="000000"/>
                <w:sz w:val="20"/>
                <w:szCs w:val="20"/>
                <w:lang w:val="en-US" w:eastAsia="en-CA"/>
              </w:rPr>
              <w:t>0</w:t>
            </w:r>
          </w:p>
        </w:tc>
        <w:tc>
          <w:tcPr>
            <w:tcW w:w="1425" w:type="dxa"/>
            <w:tcBorders>
              <w:left w:val="single" w:sz="12" w:space="0" w:color="auto"/>
              <w:right w:val="single" w:sz="12" w:space="0" w:color="auto"/>
            </w:tcBorders>
            <w:shd w:val="clear" w:color="auto" w:fill="auto"/>
            <w:noWrap/>
            <w:hideMark/>
          </w:tcPr>
          <w:p w14:paraId="5241FC43" w14:textId="0DD2C2B3" w:rsidR="00B815A9" w:rsidRPr="0098717E" w:rsidRDefault="00B815A9" w:rsidP="0098717E">
            <w:pPr>
              <w:jc w:val="right"/>
              <w:rPr>
                <w:rFonts w:asciiTheme="minorHAnsi" w:hAnsiTheme="minorHAnsi" w:cstheme="minorHAnsi"/>
                <w:color w:val="000000"/>
                <w:sz w:val="20"/>
                <w:szCs w:val="20"/>
                <w:lang w:val="en-US" w:eastAsia="en-CA"/>
              </w:rPr>
            </w:pPr>
            <w:r>
              <w:rPr>
                <w:rFonts w:asciiTheme="minorHAnsi" w:hAnsiTheme="minorHAnsi" w:cstheme="minorHAnsi"/>
                <w:color w:val="000000"/>
                <w:sz w:val="20"/>
                <w:szCs w:val="20"/>
                <w:lang w:val="en-US" w:eastAsia="en-CA"/>
              </w:rPr>
              <w:t>If present</w:t>
            </w:r>
            <w:r w:rsidRPr="0098717E">
              <w:rPr>
                <w:rFonts w:asciiTheme="minorHAnsi" w:hAnsiTheme="minorHAnsi" w:cstheme="minorHAnsi"/>
                <w:color w:val="000000"/>
                <w:sz w:val="20"/>
                <w:szCs w:val="20"/>
                <w:lang w:val="en-US" w:eastAsia="en-CA"/>
              </w:rPr>
              <w:t> </w:t>
            </w:r>
          </w:p>
        </w:tc>
        <w:tc>
          <w:tcPr>
            <w:tcW w:w="1595" w:type="dxa"/>
            <w:tcBorders>
              <w:left w:val="single" w:sz="12" w:space="0" w:color="auto"/>
            </w:tcBorders>
            <w:shd w:val="clear" w:color="auto" w:fill="auto"/>
            <w:noWrap/>
            <w:hideMark/>
          </w:tcPr>
          <w:p w14:paraId="487784B6" w14:textId="237667C5" w:rsidR="00B815A9" w:rsidRPr="0098717E" w:rsidRDefault="00B815A9" w:rsidP="0098717E">
            <w:pPr>
              <w:jc w:val="right"/>
              <w:rPr>
                <w:rFonts w:asciiTheme="minorHAnsi" w:hAnsiTheme="minorHAnsi" w:cstheme="minorHAnsi"/>
                <w:color w:val="000000"/>
                <w:sz w:val="20"/>
                <w:szCs w:val="20"/>
                <w:lang w:val="en-US" w:eastAsia="en-CA"/>
              </w:rPr>
            </w:pPr>
            <w:r>
              <w:rPr>
                <w:rFonts w:asciiTheme="minorHAnsi" w:hAnsiTheme="minorHAnsi" w:cstheme="minorHAnsi"/>
                <w:color w:val="000000"/>
                <w:sz w:val="20"/>
                <w:szCs w:val="20"/>
                <w:lang w:val="en-US" w:eastAsia="en-CA"/>
              </w:rPr>
              <w:t>NA</w:t>
            </w:r>
          </w:p>
        </w:tc>
      </w:tr>
      <w:tr w:rsidR="00B815A9" w:rsidRPr="0098717E" w14:paraId="7321A81B" w14:textId="77777777" w:rsidTr="00403A32">
        <w:trPr>
          <w:trHeight w:val="355"/>
        </w:trPr>
        <w:tc>
          <w:tcPr>
            <w:tcW w:w="704" w:type="dxa"/>
            <w:vMerge/>
            <w:vAlign w:val="center"/>
            <w:hideMark/>
          </w:tcPr>
          <w:p w14:paraId="091CED09" w14:textId="77777777" w:rsidR="00B815A9" w:rsidRPr="0098717E" w:rsidRDefault="00B815A9" w:rsidP="008D32EF">
            <w:pPr>
              <w:rPr>
                <w:rFonts w:ascii="Calibri" w:hAnsi="Calibri" w:cs="Calibri"/>
                <w:color w:val="000000"/>
                <w:lang w:val="en-US" w:eastAsia="en-CA"/>
              </w:rPr>
            </w:pPr>
          </w:p>
        </w:tc>
        <w:tc>
          <w:tcPr>
            <w:tcW w:w="3841" w:type="dxa"/>
            <w:tcBorders>
              <w:right w:val="single" w:sz="12" w:space="0" w:color="auto"/>
            </w:tcBorders>
            <w:shd w:val="clear" w:color="auto" w:fill="auto"/>
            <w:noWrap/>
            <w:hideMark/>
          </w:tcPr>
          <w:p w14:paraId="35BE340F" w14:textId="77777777" w:rsidR="00B815A9" w:rsidRPr="0098717E" w:rsidRDefault="00B815A9" w:rsidP="0098717E">
            <w:pPr>
              <w:rPr>
                <w:rFonts w:asciiTheme="minorHAnsi" w:hAnsiTheme="minorHAnsi" w:cstheme="minorHAnsi"/>
                <w:color w:val="000000"/>
                <w:sz w:val="20"/>
                <w:szCs w:val="20"/>
                <w:lang w:val="en-US" w:eastAsia="en-CA"/>
              </w:rPr>
            </w:pPr>
            <w:r w:rsidRPr="0098717E">
              <w:rPr>
                <w:rFonts w:asciiTheme="minorHAnsi" w:hAnsiTheme="minorHAnsi" w:cstheme="minorHAnsi"/>
                <w:color w:val="000000"/>
                <w:sz w:val="20"/>
                <w:szCs w:val="20"/>
                <w:lang w:val="en-US" w:eastAsia="en-CA"/>
              </w:rPr>
              <w:t>Trazodone</w:t>
            </w:r>
          </w:p>
        </w:tc>
        <w:tc>
          <w:tcPr>
            <w:tcW w:w="1226" w:type="dxa"/>
            <w:tcBorders>
              <w:left w:val="single" w:sz="12" w:space="0" w:color="auto"/>
              <w:right w:val="single" w:sz="12" w:space="0" w:color="auto"/>
            </w:tcBorders>
            <w:shd w:val="clear" w:color="auto" w:fill="auto"/>
            <w:noWrap/>
            <w:hideMark/>
          </w:tcPr>
          <w:p w14:paraId="5CDFE95B" w14:textId="77777777" w:rsidR="00B815A9" w:rsidRPr="0098717E" w:rsidRDefault="00B815A9" w:rsidP="0098717E">
            <w:pPr>
              <w:jc w:val="right"/>
              <w:rPr>
                <w:rFonts w:asciiTheme="minorHAnsi" w:hAnsiTheme="minorHAnsi" w:cstheme="minorHAnsi"/>
                <w:color w:val="000000"/>
                <w:sz w:val="20"/>
                <w:szCs w:val="20"/>
                <w:lang w:val="en-US" w:eastAsia="en-CA"/>
              </w:rPr>
            </w:pPr>
            <w:r w:rsidRPr="0098717E">
              <w:rPr>
                <w:rFonts w:asciiTheme="minorHAnsi" w:hAnsiTheme="minorHAnsi" w:cstheme="minorHAnsi"/>
                <w:color w:val="000000"/>
                <w:sz w:val="20"/>
                <w:szCs w:val="20"/>
                <w:lang w:val="en-US" w:eastAsia="en-CA"/>
              </w:rPr>
              <w:t>0</w:t>
            </w:r>
          </w:p>
        </w:tc>
        <w:tc>
          <w:tcPr>
            <w:tcW w:w="1425" w:type="dxa"/>
            <w:tcBorders>
              <w:left w:val="single" w:sz="12" w:space="0" w:color="auto"/>
              <w:right w:val="single" w:sz="12" w:space="0" w:color="auto"/>
            </w:tcBorders>
            <w:shd w:val="clear" w:color="auto" w:fill="auto"/>
            <w:noWrap/>
            <w:hideMark/>
          </w:tcPr>
          <w:p w14:paraId="150833F5" w14:textId="49EC9F04" w:rsidR="00B815A9" w:rsidRPr="0098717E" w:rsidRDefault="00B815A9" w:rsidP="0098717E">
            <w:pPr>
              <w:jc w:val="right"/>
              <w:rPr>
                <w:rFonts w:asciiTheme="minorHAnsi" w:hAnsiTheme="minorHAnsi" w:cstheme="minorHAnsi"/>
                <w:color w:val="000000"/>
                <w:sz w:val="20"/>
                <w:szCs w:val="20"/>
                <w:lang w:val="en-US" w:eastAsia="en-CA"/>
              </w:rPr>
            </w:pPr>
            <w:r>
              <w:rPr>
                <w:rFonts w:asciiTheme="minorHAnsi" w:hAnsiTheme="minorHAnsi" w:cstheme="minorHAnsi"/>
                <w:color w:val="000000"/>
                <w:sz w:val="20"/>
                <w:szCs w:val="20"/>
                <w:lang w:val="en-US" w:eastAsia="en-CA"/>
              </w:rPr>
              <w:t>If present</w:t>
            </w:r>
            <w:r w:rsidRPr="0098717E">
              <w:rPr>
                <w:rFonts w:asciiTheme="minorHAnsi" w:hAnsiTheme="minorHAnsi" w:cstheme="minorHAnsi"/>
                <w:color w:val="000000"/>
                <w:sz w:val="20"/>
                <w:szCs w:val="20"/>
                <w:lang w:val="en-US" w:eastAsia="en-CA"/>
              </w:rPr>
              <w:t> </w:t>
            </w:r>
          </w:p>
        </w:tc>
        <w:tc>
          <w:tcPr>
            <w:tcW w:w="1595" w:type="dxa"/>
            <w:tcBorders>
              <w:left w:val="single" w:sz="12" w:space="0" w:color="auto"/>
            </w:tcBorders>
            <w:shd w:val="clear" w:color="auto" w:fill="auto"/>
            <w:noWrap/>
            <w:hideMark/>
          </w:tcPr>
          <w:p w14:paraId="76BE070E" w14:textId="44EB7199" w:rsidR="00B815A9" w:rsidRPr="0098717E" w:rsidRDefault="00B815A9" w:rsidP="0098717E">
            <w:pPr>
              <w:jc w:val="right"/>
              <w:rPr>
                <w:rFonts w:asciiTheme="minorHAnsi" w:hAnsiTheme="minorHAnsi" w:cstheme="minorHAnsi"/>
                <w:sz w:val="20"/>
                <w:szCs w:val="20"/>
                <w:lang w:val="en-US" w:eastAsia="en-CA"/>
              </w:rPr>
            </w:pPr>
            <w:r>
              <w:rPr>
                <w:rFonts w:asciiTheme="minorHAnsi" w:hAnsiTheme="minorHAnsi" w:cstheme="minorHAnsi"/>
                <w:color w:val="000000"/>
                <w:sz w:val="20"/>
                <w:szCs w:val="20"/>
                <w:lang w:val="en-US" w:eastAsia="en-CA"/>
              </w:rPr>
              <w:t>NA</w:t>
            </w:r>
          </w:p>
        </w:tc>
      </w:tr>
      <w:tr w:rsidR="00B815A9" w:rsidRPr="0098717E" w14:paraId="31E628BC" w14:textId="77777777" w:rsidTr="00403A32">
        <w:trPr>
          <w:trHeight w:val="355"/>
        </w:trPr>
        <w:tc>
          <w:tcPr>
            <w:tcW w:w="704" w:type="dxa"/>
            <w:vMerge/>
            <w:vAlign w:val="center"/>
            <w:hideMark/>
          </w:tcPr>
          <w:p w14:paraId="6D3B161B" w14:textId="77777777" w:rsidR="00B815A9" w:rsidRPr="0098717E" w:rsidRDefault="00B815A9" w:rsidP="008D32EF">
            <w:pPr>
              <w:rPr>
                <w:rFonts w:ascii="Calibri" w:hAnsi="Calibri" w:cs="Calibri"/>
                <w:color w:val="000000"/>
                <w:lang w:val="en-US" w:eastAsia="en-CA"/>
              </w:rPr>
            </w:pPr>
          </w:p>
        </w:tc>
        <w:tc>
          <w:tcPr>
            <w:tcW w:w="3841" w:type="dxa"/>
            <w:tcBorders>
              <w:right w:val="single" w:sz="12" w:space="0" w:color="auto"/>
            </w:tcBorders>
            <w:shd w:val="clear" w:color="auto" w:fill="auto"/>
            <w:noWrap/>
            <w:hideMark/>
          </w:tcPr>
          <w:p w14:paraId="0ECC0538" w14:textId="65DBE39C" w:rsidR="00B815A9" w:rsidRPr="0098717E" w:rsidRDefault="00B815A9" w:rsidP="0098717E">
            <w:pPr>
              <w:rPr>
                <w:rFonts w:asciiTheme="minorHAnsi" w:hAnsiTheme="minorHAnsi" w:cstheme="minorHAnsi"/>
                <w:color w:val="000000"/>
                <w:sz w:val="20"/>
                <w:szCs w:val="20"/>
                <w:lang w:val="en-US" w:eastAsia="en-CA"/>
              </w:rPr>
            </w:pPr>
            <w:r w:rsidRPr="0098717E">
              <w:rPr>
                <w:rFonts w:asciiTheme="minorHAnsi" w:hAnsiTheme="minorHAnsi" w:cstheme="minorHAnsi"/>
                <w:color w:val="000000"/>
                <w:sz w:val="20"/>
                <w:szCs w:val="20"/>
                <w:lang w:val="en-US" w:eastAsia="en-CA"/>
              </w:rPr>
              <w:t xml:space="preserve">Benzodiazepines </w:t>
            </w:r>
          </w:p>
        </w:tc>
        <w:tc>
          <w:tcPr>
            <w:tcW w:w="1226" w:type="dxa"/>
            <w:tcBorders>
              <w:left w:val="single" w:sz="12" w:space="0" w:color="auto"/>
              <w:right w:val="single" w:sz="12" w:space="0" w:color="auto"/>
            </w:tcBorders>
            <w:shd w:val="clear" w:color="auto" w:fill="auto"/>
            <w:noWrap/>
            <w:hideMark/>
          </w:tcPr>
          <w:p w14:paraId="43F0EF1D" w14:textId="77777777" w:rsidR="00B815A9" w:rsidRPr="0098717E" w:rsidRDefault="00B815A9" w:rsidP="0098717E">
            <w:pPr>
              <w:jc w:val="right"/>
              <w:rPr>
                <w:rFonts w:asciiTheme="minorHAnsi" w:hAnsiTheme="minorHAnsi" w:cstheme="minorHAnsi"/>
                <w:color w:val="000000"/>
                <w:sz w:val="20"/>
                <w:szCs w:val="20"/>
                <w:lang w:val="en-US" w:eastAsia="en-CA"/>
              </w:rPr>
            </w:pPr>
            <w:r w:rsidRPr="0098717E">
              <w:rPr>
                <w:rFonts w:asciiTheme="minorHAnsi" w:hAnsiTheme="minorHAnsi" w:cstheme="minorHAnsi"/>
                <w:color w:val="000000"/>
                <w:sz w:val="20"/>
                <w:szCs w:val="20"/>
                <w:lang w:val="en-US" w:eastAsia="en-CA"/>
              </w:rPr>
              <w:t>0</w:t>
            </w:r>
          </w:p>
        </w:tc>
        <w:tc>
          <w:tcPr>
            <w:tcW w:w="1425" w:type="dxa"/>
            <w:tcBorders>
              <w:left w:val="single" w:sz="12" w:space="0" w:color="auto"/>
              <w:right w:val="single" w:sz="12" w:space="0" w:color="auto"/>
            </w:tcBorders>
            <w:shd w:val="clear" w:color="auto" w:fill="auto"/>
            <w:noWrap/>
            <w:hideMark/>
          </w:tcPr>
          <w:p w14:paraId="0D12071A" w14:textId="4927C4B7" w:rsidR="00B815A9" w:rsidRPr="0098717E" w:rsidRDefault="00B815A9" w:rsidP="0098717E">
            <w:pPr>
              <w:jc w:val="right"/>
              <w:rPr>
                <w:rFonts w:asciiTheme="minorHAnsi" w:hAnsiTheme="minorHAnsi" w:cstheme="minorHAnsi"/>
                <w:color w:val="000000"/>
                <w:sz w:val="20"/>
                <w:szCs w:val="20"/>
                <w:lang w:val="en-US" w:eastAsia="en-CA"/>
              </w:rPr>
            </w:pPr>
            <w:r>
              <w:rPr>
                <w:rFonts w:asciiTheme="minorHAnsi" w:hAnsiTheme="minorHAnsi" w:cstheme="minorHAnsi"/>
                <w:color w:val="000000"/>
                <w:sz w:val="20"/>
                <w:szCs w:val="20"/>
                <w:lang w:val="en-US" w:eastAsia="en-CA"/>
              </w:rPr>
              <w:t>If present</w:t>
            </w:r>
            <w:r w:rsidRPr="0098717E">
              <w:rPr>
                <w:rFonts w:asciiTheme="minorHAnsi" w:hAnsiTheme="minorHAnsi" w:cstheme="minorHAnsi"/>
                <w:color w:val="000000"/>
                <w:sz w:val="20"/>
                <w:szCs w:val="20"/>
                <w:lang w:val="en-US" w:eastAsia="en-CA"/>
              </w:rPr>
              <w:t> </w:t>
            </w:r>
          </w:p>
        </w:tc>
        <w:tc>
          <w:tcPr>
            <w:tcW w:w="1595" w:type="dxa"/>
            <w:tcBorders>
              <w:left w:val="single" w:sz="12" w:space="0" w:color="auto"/>
            </w:tcBorders>
            <w:shd w:val="clear" w:color="auto" w:fill="auto"/>
            <w:noWrap/>
            <w:hideMark/>
          </w:tcPr>
          <w:p w14:paraId="07A72293" w14:textId="1771D878" w:rsidR="00B815A9" w:rsidRPr="0098717E" w:rsidRDefault="00B815A9" w:rsidP="0098717E">
            <w:pPr>
              <w:jc w:val="right"/>
              <w:rPr>
                <w:rFonts w:asciiTheme="minorHAnsi" w:hAnsiTheme="minorHAnsi" w:cstheme="minorHAnsi"/>
                <w:sz w:val="20"/>
                <w:szCs w:val="20"/>
                <w:lang w:val="en-US" w:eastAsia="en-CA"/>
              </w:rPr>
            </w:pPr>
            <w:r>
              <w:rPr>
                <w:rFonts w:asciiTheme="minorHAnsi" w:hAnsiTheme="minorHAnsi" w:cstheme="minorHAnsi"/>
                <w:color w:val="000000"/>
                <w:sz w:val="20"/>
                <w:szCs w:val="20"/>
                <w:lang w:val="en-US" w:eastAsia="en-CA"/>
              </w:rPr>
              <w:t>NA</w:t>
            </w:r>
          </w:p>
        </w:tc>
      </w:tr>
      <w:tr w:rsidR="000144AD" w:rsidRPr="0098717E" w14:paraId="3899088D" w14:textId="77777777" w:rsidTr="00403A32">
        <w:trPr>
          <w:trHeight w:val="355"/>
        </w:trPr>
        <w:tc>
          <w:tcPr>
            <w:tcW w:w="704" w:type="dxa"/>
            <w:vMerge/>
            <w:vAlign w:val="center"/>
          </w:tcPr>
          <w:p w14:paraId="47670998" w14:textId="77777777" w:rsidR="000144AD" w:rsidRPr="0098717E" w:rsidRDefault="000144AD" w:rsidP="000144AD">
            <w:pPr>
              <w:rPr>
                <w:rFonts w:ascii="Calibri" w:hAnsi="Calibri" w:cs="Calibri"/>
                <w:color w:val="000000"/>
                <w:lang w:val="en-US" w:eastAsia="en-CA"/>
              </w:rPr>
            </w:pPr>
          </w:p>
        </w:tc>
        <w:tc>
          <w:tcPr>
            <w:tcW w:w="3841" w:type="dxa"/>
            <w:tcBorders>
              <w:right w:val="single" w:sz="12" w:space="0" w:color="auto"/>
            </w:tcBorders>
            <w:shd w:val="clear" w:color="auto" w:fill="auto"/>
            <w:noWrap/>
          </w:tcPr>
          <w:p w14:paraId="56E7D51F" w14:textId="723D3749" w:rsidR="000144AD" w:rsidRPr="0098717E" w:rsidRDefault="000144AD" w:rsidP="000144AD">
            <w:pPr>
              <w:rPr>
                <w:rFonts w:asciiTheme="minorHAnsi" w:hAnsiTheme="minorHAnsi" w:cstheme="minorHAnsi"/>
                <w:color w:val="000000"/>
                <w:sz w:val="20"/>
                <w:szCs w:val="20"/>
                <w:lang w:val="en-US" w:eastAsia="en-CA"/>
              </w:rPr>
            </w:pPr>
            <w:r w:rsidRPr="0098717E">
              <w:rPr>
                <w:rFonts w:asciiTheme="minorHAnsi" w:hAnsiTheme="minorHAnsi" w:cstheme="minorHAnsi"/>
                <w:sz w:val="20"/>
                <w:szCs w:val="20"/>
                <w:lang w:val="en-US" w:eastAsia="en-CA"/>
              </w:rPr>
              <w:t>Zolpidem, zopiclone</w:t>
            </w:r>
          </w:p>
        </w:tc>
        <w:tc>
          <w:tcPr>
            <w:tcW w:w="1226" w:type="dxa"/>
            <w:tcBorders>
              <w:left w:val="single" w:sz="12" w:space="0" w:color="auto"/>
              <w:right w:val="single" w:sz="12" w:space="0" w:color="auto"/>
            </w:tcBorders>
            <w:shd w:val="clear" w:color="auto" w:fill="auto"/>
            <w:noWrap/>
          </w:tcPr>
          <w:p w14:paraId="16E7FC5A" w14:textId="317EDEE9" w:rsidR="000144AD" w:rsidRPr="0098717E" w:rsidRDefault="000144AD" w:rsidP="000144AD">
            <w:pPr>
              <w:jc w:val="right"/>
              <w:rPr>
                <w:rFonts w:asciiTheme="minorHAnsi" w:hAnsiTheme="minorHAnsi" w:cstheme="minorHAnsi"/>
                <w:color w:val="000000"/>
                <w:sz w:val="20"/>
                <w:szCs w:val="20"/>
                <w:lang w:val="en-US" w:eastAsia="en-CA"/>
              </w:rPr>
            </w:pPr>
            <w:r w:rsidRPr="0098717E">
              <w:rPr>
                <w:rFonts w:asciiTheme="minorHAnsi" w:hAnsiTheme="minorHAnsi" w:cstheme="minorHAnsi"/>
                <w:sz w:val="20"/>
                <w:szCs w:val="20"/>
                <w:lang w:val="en-US" w:eastAsia="en-CA"/>
              </w:rPr>
              <w:t>0</w:t>
            </w:r>
          </w:p>
        </w:tc>
        <w:tc>
          <w:tcPr>
            <w:tcW w:w="1425" w:type="dxa"/>
            <w:tcBorders>
              <w:left w:val="single" w:sz="12" w:space="0" w:color="auto"/>
              <w:right w:val="single" w:sz="12" w:space="0" w:color="auto"/>
            </w:tcBorders>
            <w:shd w:val="clear" w:color="auto" w:fill="auto"/>
            <w:noWrap/>
          </w:tcPr>
          <w:p w14:paraId="5CC8C65C" w14:textId="6B3A5FFE" w:rsidR="000144AD" w:rsidRPr="0098717E" w:rsidRDefault="000144AD" w:rsidP="000144AD">
            <w:pPr>
              <w:jc w:val="right"/>
              <w:rPr>
                <w:rFonts w:asciiTheme="minorHAnsi" w:hAnsiTheme="minorHAnsi" w:cstheme="minorHAnsi"/>
                <w:color w:val="000000"/>
                <w:sz w:val="20"/>
                <w:szCs w:val="20"/>
                <w:lang w:val="en-US" w:eastAsia="en-CA"/>
              </w:rPr>
            </w:pPr>
            <w:r>
              <w:rPr>
                <w:rFonts w:asciiTheme="minorHAnsi" w:hAnsiTheme="minorHAnsi" w:cstheme="minorHAnsi"/>
                <w:color w:val="000000"/>
                <w:sz w:val="20"/>
                <w:szCs w:val="20"/>
                <w:lang w:val="en-US" w:eastAsia="en-CA"/>
              </w:rPr>
              <w:t>If present</w:t>
            </w:r>
            <w:r w:rsidRPr="0098717E">
              <w:rPr>
                <w:rFonts w:asciiTheme="minorHAnsi" w:hAnsiTheme="minorHAnsi" w:cstheme="minorHAnsi"/>
                <w:color w:val="000000"/>
                <w:sz w:val="20"/>
                <w:szCs w:val="20"/>
                <w:lang w:val="en-US" w:eastAsia="en-CA"/>
              </w:rPr>
              <w:t> </w:t>
            </w:r>
          </w:p>
        </w:tc>
        <w:tc>
          <w:tcPr>
            <w:tcW w:w="1595" w:type="dxa"/>
            <w:tcBorders>
              <w:left w:val="single" w:sz="12" w:space="0" w:color="auto"/>
            </w:tcBorders>
            <w:shd w:val="clear" w:color="auto" w:fill="auto"/>
            <w:noWrap/>
          </w:tcPr>
          <w:p w14:paraId="1D6EA412" w14:textId="39817AD3" w:rsidR="000144AD" w:rsidRPr="0098717E" w:rsidRDefault="000144AD" w:rsidP="000144AD">
            <w:pPr>
              <w:jc w:val="right"/>
              <w:rPr>
                <w:rFonts w:asciiTheme="minorHAnsi" w:hAnsiTheme="minorHAnsi" w:cstheme="minorHAnsi"/>
                <w:color w:val="000000"/>
                <w:sz w:val="20"/>
                <w:szCs w:val="20"/>
                <w:lang w:val="en-US" w:eastAsia="en-CA"/>
              </w:rPr>
            </w:pPr>
            <w:r>
              <w:rPr>
                <w:rFonts w:asciiTheme="minorHAnsi" w:hAnsiTheme="minorHAnsi" w:cstheme="minorHAnsi"/>
                <w:color w:val="000000"/>
                <w:sz w:val="20"/>
                <w:szCs w:val="20"/>
                <w:lang w:val="en-US" w:eastAsia="en-CA"/>
              </w:rPr>
              <w:t>NA</w:t>
            </w:r>
          </w:p>
        </w:tc>
      </w:tr>
    </w:tbl>
    <w:p w14:paraId="5D3B5D1C" w14:textId="77777777" w:rsidR="00DE1643" w:rsidRPr="0098717E" w:rsidRDefault="00DE1643">
      <w:pPr>
        <w:spacing w:after="160" w:line="259" w:lineRule="auto"/>
        <w:rPr>
          <w:rFonts w:ascii="Calibri" w:hAnsi="Calibri" w:cs="Calibri"/>
          <w:lang w:val="en-US"/>
        </w:rPr>
      </w:pPr>
    </w:p>
    <w:p w14:paraId="496FEEF0" w14:textId="77777777" w:rsidR="00DE1643" w:rsidRPr="0098717E" w:rsidRDefault="00DE1643">
      <w:pPr>
        <w:spacing w:after="160" w:line="259" w:lineRule="auto"/>
        <w:rPr>
          <w:rFonts w:ascii="Calibri" w:hAnsi="Calibri" w:cs="Calibri"/>
          <w:lang w:val="en-US"/>
        </w:rPr>
      </w:pPr>
    </w:p>
    <w:p w14:paraId="662E3903" w14:textId="77777777" w:rsidR="00DE1643" w:rsidRPr="0098717E" w:rsidRDefault="00DE1643">
      <w:pPr>
        <w:spacing w:after="160" w:line="259" w:lineRule="auto"/>
        <w:rPr>
          <w:rFonts w:ascii="Calibri" w:hAnsi="Calibri" w:cs="Calibri"/>
          <w:lang w:val="en-US"/>
        </w:rPr>
      </w:pPr>
    </w:p>
    <w:p w14:paraId="164E2167" w14:textId="77777777" w:rsidR="00DE1643" w:rsidRPr="0098717E" w:rsidRDefault="00DE1643">
      <w:pPr>
        <w:spacing w:after="160" w:line="259" w:lineRule="auto"/>
        <w:rPr>
          <w:rFonts w:ascii="Calibri" w:hAnsi="Calibri" w:cs="Calibri"/>
          <w:lang w:val="en-US"/>
        </w:rPr>
      </w:pPr>
    </w:p>
    <w:p w14:paraId="4E6422D1" w14:textId="77777777" w:rsidR="00DE1643" w:rsidRPr="0098717E" w:rsidRDefault="00DE1643">
      <w:pPr>
        <w:spacing w:after="160" w:line="259" w:lineRule="auto"/>
        <w:rPr>
          <w:rFonts w:ascii="Calibri" w:hAnsi="Calibri" w:cs="Calibri"/>
          <w:lang w:val="en-US"/>
        </w:rPr>
      </w:pPr>
    </w:p>
    <w:p w14:paraId="729880D1" w14:textId="77777777" w:rsidR="00DE1643" w:rsidRPr="0098717E" w:rsidRDefault="00DE1643">
      <w:pPr>
        <w:spacing w:after="160" w:line="259" w:lineRule="auto"/>
        <w:rPr>
          <w:rFonts w:ascii="Calibri" w:hAnsi="Calibri" w:cs="Calibri"/>
          <w:lang w:val="en-US"/>
        </w:rPr>
      </w:pPr>
    </w:p>
    <w:tbl>
      <w:tblPr>
        <w:tblW w:w="13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1924"/>
        <w:gridCol w:w="1230"/>
        <w:gridCol w:w="1747"/>
        <w:gridCol w:w="1559"/>
        <w:gridCol w:w="1427"/>
        <w:gridCol w:w="2117"/>
        <w:gridCol w:w="607"/>
        <w:gridCol w:w="1424"/>
      </w:tblGrid>
      <w:tr w:rsidR="00DE1643" w:rsidRPr="0006318C" w14:paraId="1D6BFAFC" w14:textId="77777777" w:rsidTr="00B815A9">
        <w:trPr>
          <w:trHeight w:val="292"/>
        </w:trPr>
        <w:tc>
          <w:tcPr>
            <w:tcW w:w="13225" w:type="dxa"/>
            <w:gridSpan w:val="9"/>
            <w:shd w:val="clear" w:color="auto" w:fill="auto"/>
            <w:noWrap/>
          </w:tcPr>
          <w:p w14:paraId="5F92CA69" w14:textId="77777777" w:rsidR="00DE1643" w:rsidRPr="0098717E" w:rsidRDefault="00DE1643" w:rsidP="00387AD9">
            <w:pPr>
              <w:jc w:val="both"/>
              <w:rPr>
                <w:rFonts w:ascii="Calibri" w:hAnsi="Calibri" w:cs="Calibri"/>
                <w:color w:val="000000"/>
                <w:sz w:val="20"/>
                <w:szCs w:val="20"/>
                <w:lang w:val="en-US" w:eastAsia="en-CA"/>
              </w:rPr>
            </w:pPr>
            <w:r w:rsidRPr="0098717E">
              <w:rPr>
                <w:rFonts w:ascii="Calibri" w:hAnsi="Calibri" w:cs="Calibri"/>
                <w:sz w:val="20"/>
                <w:szCs w:val="20"/>
                <w:lang w:val="en-US"/>
              </w:rPr>
              <w:lastRenderedPageBreak/>
              <w:br w:type="page"/>
            </w:r>
            <w:r w:rsidRPr="0098717E">
              <w:rPr>
                <w:rFonts w:ascii="Calibri" w:hAnsi="Calibri" w:cs="Calibri"/>
                <w:b/>
                <w:bCs/>
                <w:color w:val="000000"/>
                <w:sz w:val="20"/>
                <w:szCs w:val="20"/>
                <w:lang w:val="en-US" w:eastAsia="en-CA"/>
              </w:rPr>
              <w:t xml:space="preserve">Table 2: </w:t>
            </w:r>
            <w:r w:rsidRPr="0098717E">
              <w:rPr>
                <w:rFonts w:ascii="Calibri" w:hAnsi="Calibri" w:cs="Calibri"/>
                <w:color w:val="000000"/>
                <w:sz w:val="20"/>
                <w:szCs w:val="20"/>
                <w:lang w:val="en-US" w:eastAsia="en-CA"/>
              </w:rPr>
              <w:t xml:space="preserve">Example medications prescribed and their corresponding loads (shown in grey) for antidepressants, antipsychotics, and other miscellaneous prescriptions (e.g. anxiolytics, and psychostimulants). </w:t>
            </w:r>
          </w:p>
        </w:tc>
      </w:tr>
      <w:tr w:rsidR="00DE1643" w:rsidRPr="0098717E" w14:paraId="180BB7E5" w14:textId="77777777" w:rsidTr="00B815A9">
        <w:trPr>
          <w:trHeight w:val="292"/>
        </w:trPr>
        <w:tc>
          <w:tcPr>
            <w:tcW w:w="1190" w:type="dxa"/>
            <w:shd w:val="clear" w:color="auto" w:fill="auto"/>
            <w:noWrap/>
            <w:vAlign w:val="bottom"/>
          </w:tcPr>
          <w:p w14:paraId="52884B0B" w14:textId="77777777" w:rsidR="00DE1643" w:rsidRPr="0098717E" w:rsidRDefault="00DE1643" w:rsidP="00387AD9">
            <w:pPr>
              <w:rPr>
                <w:rFonts w:ascii="Calibri" w:hAnsi="Calibri" w:cs="Calibri"/>
                <w:color w:val="000000"/>
                <w:sz w:val="20"/>
                <w:szCs w:val="20"/>
                <w:lang w:val="en-US" w:eastAsia="en-CA"/>
              </w:rPr>
            </w:pPr>
          </w:p>
        </w:tc>
        <w:tc>
          <w:tcPr>
            <w:tcW w:w="3154" w:type="dxa"/>
            <w:gridSpan w:val="2"/>
            <w:shd w:val="clear" w:color="auto" w:fill="auto"/>
            <w:noWrap/>
            <w:vAlign w:val="bottom"/>
          </w:tcPr>
          <w:p w14:paraId="51B3D95C" w14:textId="77777777" w:rsidR="00DE1643" w:rsidRPr="0098717E" w:rsidRDefault="00DE1643" w:rsidP="00387AD9">
            <w:pPr>
              <w:jc w:val="center"/>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Antidepressant</w:t>
            </w:r>
          </w:p>
        </w:tc>
        <w:tc>
          <w:tcPr>
            <w:tcW w:w="4733" w:type="dxa"/>
            <w:gridSpan w:val="3"/>
            <w:shd w:val="clear" w:color="auto" w:fill="auto"/>
            <w:noWrap/>
            <w:vAlign w:val="bottom"/>
          </w:tcPr>
          <w:p w14:paraId="7BA67BA1" w14:textId="77777777" w:rsidR="00DE1643" w:rsidRPr="0098717E" w:rsidRDefault="00DE1643" w:rsidP="00387AD9">
            <w:pPr>
              <w:jc w:val="center"/>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Antipsychotics</w:t>
            </w:r>
          </w:p>
        </w:tc>
        <w:tc>
          <w:tcPr>
            <w:tcW w:w="2724" w:type="dxa"/>
            <w:gridSpan w:val="2"/>
            <w:shd w:val="clear" w:color="auto" w:fill="auto"/>
            <w:noWrap/>
            <w:vAlign w:val="bottom"/>
          </w:tcPr>
          <w:p w14:paraId="3CE1CE31" w14:textId="77777777" w:rsidR="00DE1643" w:rsidRPr="0098717E" w:rsidRDefault="00DE1643" w:rsidP="00387AD9">
            <w:pPr>
              <w:jc w:val="center"/>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Miscellaneous</w:t>
            </w:r>
          </w:p>
        </w:tc>
        <w:tc>
          <w:tcPr>
            <w:tcW w:w="1424" w:type="dxa"/>
            <w:vMerge w:val="restart"/>
            <w:shd w:val="clear" w:color="auto" w:fill="AEAAAA" w:themeFill="background2" w:themeFillShade="BF"/>
            <w:noWrap/>
            <w:vAlign w:val="center"/>
          </w:tcPr>
          <w:p w14:paraId="3DB00DA2" w14:textId="77777777" w:rsidR="00DE1643" w:rsidRPr="0098717E" w:rsidRDefault="00DE1643" w:rsidP="00387AD9">
            <w:pPr>
              <w:jc w:val="center"/>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TOTAL MEDICATION LOAD</w:t>
            </w:r>
          </w:p>
          <w:p w14:paraId="2607E5E8" w14:textId="77777777" w:rsidR="00DE1643" w:rsidRPr="0098717E" w:rsidRDefault="00DE1643" w:rsidP="00387AD9">
            <w:pPr>
              <w:jc w:val="center"/>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INDEX</w:t>
            </w:r>
          </w:p>
        </w:tc>
      </w:tr>
      <w:tr w:rsidR="00DE1643" w:rsidRPr="0098717E" w14:paraId="10405ACD" w14:textId="77777777" w:rsidTr="00B815A9">
        <w:trPr>
          <w:trHeight w:val="292"/>
        </w:trPr>
        <w:tc>
          <w:tcPr>
            <w:tcW w:w="1190" w:type="dxa"/>
            <w:shd w:val="clear" w:color="auto" w:fill="auto"/>
            <w:noWrap/>
            <w:vAlign w:val="bottom"/>
            <w:hideMark/>
          </w:tcPr>
          <w:p w14:paraId="149A9207" w14:textId="77777777" w:rsidR="00DE1643" w:rsidRPr="0098717E" w:rsidRDefault="00DE1643" w:rsidP="00387AD9">
            <w:pP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 xml:space="preserve">Participant </w:t>
            </w:r>
          </w:p>
        </w:tc>
        <w:tc>
          <w:tcPr>
            <w:tcW w:w="1924" w:type="dxa"/>
            <w:shd w:val="clear" w:color="auto" w:fill="auto"/>
            <w:noWrap/>
            <w:vAlign w:val="bottom"/>
            <w:hideMark/>
          </w:tcPr>
          <w:p w14:paraId="08E0D51D" w14:textId="3274AC39" w:rsidR="00DE1643" w:rsidRPr="0098717E" w:rsidRDefault="00DE1643" w:rsidP="00387AD9">
            <w:pPr>
              <w:jc w:val="cente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Original (dosage</w:t>
            </w:r>
            <w:r w:rsidR="0098717E">
              <w:rPr>
                <w:rFonts w:ascii="Calibri" w:hAnsi="Calibri" w:cs="Calibri"/>
                <w:color w:val="000000"/>
                <w:sz w:val="20"/>
                <w:szCs w:val="20"/>
                <w:lang w:val="en-US" w:eastAsia="en-CA"/>
              </w:rPr>
              <w:t> </w:t>
            </w:r>
            <w:r w:rsidRPr="0098717E">
              <w:rPr>
                <w:rFonts w:ascii="Calibri" w:hAnsi="Calibri" w:cs="Calibri"/>
                <w:color w:val="000000"/>
                <w:sz w:val="20"/>
                <w:szCs w:val="20"/>
                <w:lang w:val="en-US" w:eastAsia="en-CA"/>
              </w:rPr>
              <w:t>mg/d)</w:t>
            </w:r>
          </w:p>
        </w:tc>
        <w:tc>
          <w:tcPr>
            <w:tcW w:w="1230" w:type="dxa"/>
            <w:shd w:val="clear" w:color="auto" w:fill="E7E6E6" w:themeFill="background2"/>
            <w:noWrap/>
            <w:vAlign w:val="bottom"/>
            <w:hideMark/>
          </w:tcPr>
          <w:p w14:paraId="345C6059" w14:textId="77777777" w:rsidR="00DE1643" w:rsidRPr="0098717E" w:rsidRDefault="00DE1643" w:rsidP="00387AD9">
            <w:pPr>
              <w:jc w:val="cente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Load</w:t>
            </w:r>
          </w:p>
        </w:tc>
        <w:tc>
          <w:tcPr>
            <w:tcW w:w="1747" w:type="dxa"/>
            <w:shd w:val="clear" w:color="auto" w:fill="auto"/>
            <w:noWrap/>
            <w:vAlign w:val="bottom"/>
            <w:hideMark/>
          </w:tcPr>
          <w:p w14:paraId="56E9139E" w14:textId="77777777" w:rsidR="00DE1643" w:rsidRPr="0098717E" w:rsidRDefault="00DE1643" w:rsidP="00387AD9">
            <w:pPr>
              <w:jc w:val="cente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Original</w:t>
            </w:r>
          </w:p>
          <w:p w14:paraId="46A273B5" w14:textId="77777777" w:rsidR="00DE1643" w:rsidRPr="0098717E" w:rsidRDefault="00DE1643" w:rsidP="00387AD9">
            <w:pPr>
              <w:jc w:val="cente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(dosage mg/d)</w:t>
            </w:r>
          </w:p>
        </w:tc>
        <w:tc>
          <w:tcPr>
            <w:tcW w:w="1559" w:type="dxa"/>
            <w:shd w:val="clear" w:color="auto" w:fill="auto"/>
            <w:noWrap/>
            <w:vAlign w:val="bottom"/>
            <w:hideMark/>
          </w:tcPr>
          <w:p w14:paraId="613DC264" w14:textId="77777777" w:rsidR="00DE1643" w:rsidRPr="0098717E" w:rsidRDefault="00DE1643" w:rsidP="00387AD9">
            <w:pPr>
              <w:jc w:val="cente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Chlorpromazine equivalent (mg/d)</w:t>
            </w:r>
          </w:p>
        </w:tc>
        <w:tc>
          <w:tcPr>
            <w:tcW w:w="1427" w:type="dxa"/>
            <w:shd w:val="clear" w:color="auto" w:fill="E7E6E6" w:themeFill="background2"/>
            <w:noWrap/>
            <w:vAlign w:val="bottom"/>
            <w:hideMark/>
          </w:tcPr>
          <w:p w14:paraId="195755CA" w14:textId="77777777" w:rsidR="00DE1643" w:rsidRPr="0098717E" w:rsidRDefault="00DE1643" w:rsidP="00387AD9">
            <w:pPr>
              <w:jc w:val="cente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Load</w:t>
            </w:r>
          </w:p>
        </w:tc>
        <w:tc>
          <w:tcPr>
            <w:tcW w:w="2117" w:type="dxa"/>
            <w:shd w:val="clear" w:color="auto" w:fill="auto"/>
            <w:noWrap/>
            <w:vAlign w:val="bottom"/>
            <w:hideMark/>
          </w:tcPr>
          <w:p w14:paraId="4682E998" w14:textId="77777777" w:rsidR="00DE1643" w:rsidRPr="0098717E" w:rsidRDefault="00DE1643" w:rsidP="00387AD9">
            <w:pPr>
              <w:jc w:val="cente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Original</w:t>
            </w:r>
          </w:p>
          <w:p w14:paraId="27484370" w14:textId="77777777" w:rsidR="00DE1643" w:rsidRPr="0098717E" w:rsidRDefault="00DE1643" w:rsidP="00387AD9">
            <w:pPr>
              <w:jc w:val="cente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(dosage mg/d)</w:t>
            </w:r>
          </w:p>
        </w:tc>
        <w:tc>
          <w:tcPr>
            <w:tcW w:w="607" w:type="dxa"/>
            <w:shd w:val="clear" w:color="auto" w:fill="E7E6E6" w:themeFill="background2"/>
            <w:noWrap/>
            <w:vAlign w:val="bottom"/>
            <w:hideMark/>
          </w:tcPr>
          <w:p w14:paraId="1A4FE3A6" w14:textId="77777777" w:rsidR="00DE1643" w:rsidRPr="0098717E" w:rsidRDefault="00DE1643" w:rsidP="00387AD9">
            <w:pPr>
              <w:jc w:val="cente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Load</w:t>
            </w:r>
          </w:p>
        </w:tc>
        <w:tc>
          <w:tcPr>
            <w:tcW w:w="1424" w:type="dxa"/>
            <w:vMerge/>
            <w:shd w:val="clear" w:color="auto" w:fill="AEAAAA" w:themeFill="background2" w:themeFillShade="BF"/>
            <w:noWrap/>
            <w:vAlign w:val="bottom"/>
            <w:hideMark/>
          </w:tcPr>
          <w:p w14:paraId="05DD277B" w14:textId="77777777" w:rsidR="00DE1643" w:rsidRPr="0098717E" w:rsidRDefault="00DE1643" w:rsidP="00387AD9">
            <w:pPr>
              <w:jc w:val="center"/>
              <w:rPr>
                <w:rFonts w:ascii="Calibri" w:hAnsi="Calibri" w:cs="Calibri"/>
                <w:b/>
                <w:bCs/>
                <w:color w:val="000000"/>
                <w:sz w:val="20"/>
                <w:szCs w:val="20"/>
                <w:lang w:val="en-US" w:eastAsia="en-CA"/>
              </w:rPr>
            </w:pPr>
          </w:p>
        </w:tc>
      </w:tr>
      <w:tr w:rsidR="00DE1643" w:rsidRPr="0098717E" w14:paraId="116672FA" w14:textId="77777777" w:rsidTr="00B815A9">
        <w:trPr>
          <w:trHeight w:val="292"/>
        </w:trPr>
        <w:tc>
          <w:tcPr>
            <w:tcW w:w="1190" w:type="dxa"/>
            <w:shd w:val="clear" w:color="auto" w:fill="auto"/>
            <w:noWrap/>
            <w:vAlign w:val="bottom"/>
            <w:hideMark/>
          </w:tcPr>
          <w:p w14:paraId="0FE81808" w14:textId="77777777" w:rsidR="00DE1643" w:rsidRPr="0098717E" w:rsidRDefault="00DE1643" w:rsidP="00387AD9">
            <w:pPr>
              <w:jc w:val="right"/>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1</w:t>
            </w:r>
          </w:p>
        </w:tc>
        <w:tc>
          <w:tcPr>
            <w:tcW w:w="1924" w:type="dxa"/>
            <w:shd w:val="clear" w:color="auto" w:fill="auto"/>
            <w:noWrap/>
            <w:vAlign w:val="bottom"/>
            <w:hideMark/>
          </w:tcPr>
          <w:p w14:paraId="55EEAF2A" w14:textId="22E9D5EC" w:rsidR="00DE1643" w:rsidRPr="0098717E" w:rsidRDefault="00DE1643" w:rsidP="00387AD9">
            <w:pPr>
              <w:jc w:val="right"/>
              <w:rPr>
                <w:rFonts w:ascii="Calibri" w:hAnsi="Calibri" w:cs="Calibri"/>
                <w:color w:val="000000"/>
                <w:sz w:val="20"/>
                <w:szCs w:val="20"/>
                <w:lang w:val="en-US" w:eastAsia="en-CA"/>
              </w:rPr>
            </w:pPr>
          </w:p>
        </w:tc>
        <w:tc>
          <w:tcPr>
            <w:tcW w:w="1230" w:type="dxa"/>
            <w:shd w:val="clear" w:color="auto" w:fill="E7E6E6" w:themeFill="background2"/>
            <w:noWrap/>
            <w:vAlign w:val="bottom"/>
            <w:hideMark/>
          </w:tcPr>
          <w:p w14:paraId="40C2CA4E"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0</w:t>
            </w:r>
          </w:p>
        </w:tc>
        <w:tc>
          <w:tcPr>
            <w:tcW w:w="1747" w:type="dxa"/>
            <w:shd w:val="clear" w:color="auto" w:fill="auto"/>
            <w:noWrap/>
            <w:vAlign w:val="bottom"/>
            <w:hideMark/>
          </w:tcPr>
          <w:p w14:paraId="0BD7E955" w14:textId="77777777" w:rsidR="00DE1643" w:rsidRPr="0098717E" w:rsidRDefault="00DE1643" w:rsidP="00387AD9">
            <w:pPr>
              <w:jc w:val="right"/>
              <w:rPr>
                <w:rFonts w:ascii="Calibri" w:hAnsi="Calibri" w:cs="Calibri"/>
                <w:color w:val="000000"/>
                <w:sz w:val="20"/>
                <w:szCs w:val="20"/>
                <w:lang w:val="en-US" w:eastAsia="en-CA"/>
              </w:rPr>
            </w:pPr>
          </w:p>
        </w:tc>
        <w:tc>
          <w:tcPr>
            <w:tcW w:w="1559" w:type="dxa"/>
            <w:shd w:val="clear" w:color="auto" w:fill="auto"/>
            <w:noWrap/>
            <w:vAlign w:val="bottom"/>
            <w:hideMark/>
          </w:tcPr>
          <w:p w14:paraId="751F10EE" w14:textId="77777777" w:rsidR="00DE1643" w:rsidRPr="0098717E" w:rsidRDefault="00DE1643" w:rsidP="00387AD9">
            <w:pPr>
              <w:rPr>
                <w:sz w:val="20"/>
                <w:szCs w:val="20"/>
                <w:lang w:val="en-US" w:eastAsia="en-CA"/>
              </w:rPr>
            </w:pPr>
          </w:p>
        </w:tc>
        <w:tc>
          <w:tcPr>
            <w:tcW w:w="1427" w:type="dxa"/>
            <w:shd w:val="clear" w:color="auto" w:fill="E7E6E6" w:themeFill="background2"/>
            <w:noWrap/>
            <w:vAlign w:val="bottom"/>
            <w:hideMark/>
          </w:tcPr>
          <w:p w14:paraId="43D97D5C"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0</w:t>
            </w:r>
          </w:p>
        </w:tc>
        <w:tc>
          <w:tcPr>
            <w:tcW w:w="2117" w:type="dxa"/>
            <w:shd w:val="clear" w:color="auto" w:fill="auto"/>
            <w:noWrap/>
            <w:vAlign w:val="bottom"/>
            <w:hideMark/>
          </w:tcPr>
          <w:p w14:paraId="09AB18DA" w14:textId="77777777" w:rsidR="00DE1643" w:rsidRPr="0098717E" w:rsidRDefault="00DE1643" w:rsidP="00387AD9">
            <w:pPr>
              <w:jc w:val="right"/>
              <w:rPr>
                <w:rFonts w:ascii="Calibri" w:hAnsi="Calibri" w:cs="Calibri"/>
                <w:color w:val="000000"/>
                <w:sz w:val="20"/>
                <w:szCs w:val="20"/>
                <w:lang w:val="en-US" w:eastAsia="en-CA"/>
              </w:rPr>
            </w:pPr>
          </w:p>
        </w:tc>
        <w:tc>
          <w:tcPr>
            <w:tcW w:w="607" w:type="dxa"/>
            <w:shd w:val="clear" w:color="auto" w:fill="E7E6E6" w:themeFill="background2"/>
            <w:noWrap/>
            <w:vAlign w:val="bottom"/>
            <w:hideMark/>
          </w:tcPr>
          <w:p w14:paraId="03E5224A"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0</w:t>
            </w:r>
          </w:p>
        </w:tc>
        <w:tc>
          <w:tcPr>
            <w:tcW w:w="1424" w:type="dxa"/>
            <w:shd w:val="clear" w:color="auto" w:fill="AEAAAA" w:themeFill="background2" w:themeFillShade="BF"/>
            <w:noWrap/>
            <w:vAlign w:val="bottom"/>
            <w:hideMark/>
          </w:tcPr>
          <w:p w14:paraId="0861221D"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0</w:t>
            </w:r>
          </w:p>
        </w:tc>
      </w:tr>
      <w:tr w:rsidR="00DE1643" w:rsidRPr="0098717E" w14:paraId="66F32121" w14:textId="77777777" w:rsidTr="00B815A9">
        <w:trPr>
          <w:trHeight w:val="292"/>
        </w:trPr>
        <w:tc>
          <w:tcPr>
            <w:tcW w:w="1190" w:type="dxa"/>
            <w:shd w:val="clear" w:color="auto" w:fill="auto"/>
            <w:noWrap/>
            <w:vAlign w:val="bottom"/>
            <w:hideMark/>
          </w:tcPr>
          <w:p w14:paraId="22559C64" w14:textId="77777777" w:rsidR="00DE1643" w:rsidRPr="0098717E" w:rsidRDefault="00DE1643" w:rsidP="00387AD9">
            <w:pPr>
              <w:jc w:val="right"/>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2</w:t>
            </w:r>
          </w:p>
        </w:tc>
        <w:tc>
          <w:tcPr>
            <w:tcW w:w="1924" w:type="dxa"/>
            <w:shd w:val="clear" w:color="auto" w:fill="auto"/>
            <w:noWrap/>
            <w:vAlign w:val="bottom"/>
            <w:hideMark/>
          </w:tcPr>
          <w:p w14:paraId="495D6B50" w14:textId="37F858E5" w:rsidR="00DE1643" w:rsidRPr="0098717E" w:rsidRDefault="00DE1643" w:rsidP="00387AD9">
            <w:pPr>
              <w:jc w:val="right"/>
              <w:rPr>
                <w:rFonts w:ascii="Calibri" w:hAnsi="Calibri" w:cs="Calibri"/>
                <w:color w:val="000000"/>
                <w:sz w:val="20"/>
                <w:szCs w:val="20"/>
                <w:lang w:val="en-US" w:eastAsia="en-CA"/>
              </w:rPr>
            </w:pPr>
          </w:p>
        </w:tc>
        <w:tc>
          <w:tcPr>
            <w:tcW w:w="1230" w:type="dxa"/>
            <w:shd w:val="clear" w:color="auto" w:fill="E7E6E6" w:themeFill="background2"/>
            <w:noWrap/>
            <w:vAlign w:val="bottom"/>
            <w:hideMark/>
          </w:tcPr>
          <w:p w14:paraId="1FEAC4BD"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0</w:t>
            </w:r>
          </w:p>
        </w:tc>
        <w:tc>
          <w:tcPr>
            <w:tcW w:w="1747" w:type="dxa"/>
            <w:shd w:val="clear" w:color="auto" w:fill="auto"/>
            <w:noWrap/>
            <w:vAlign w:val="bottom"/>
            <w:hideMark/>
          </w:tcPr>
          <w:p w14:paraId="0C8A56FD" w14:textId="77777777" w:rsidR="00DE1643" w:rsidRPr="0098717E" w:rsidRDefault="00DE1643" w:rsidP="00387AD9">
            <w:pPr>
              <w:jc w:val="right"/>
              <w:rPr>
                <w:rFonts w:ascii="Calibri" w:hAnsi="Calibri" w:cs="Calibri"/>
                <w:color w:val="000000"/>
                <w:sz w:val="20"/>
                <w:szCs w:val="20"/>
                <w:lang w:val="en-US" w:eastAsia="en-CA"/>
              </w:rPr>
            </w:pPr>
          </w:p>
        </w:tc>
        <w:tc>
          <w:tcPr>
            <w:tcW w:w="1559" w:type="dxa"/>
            <w:shd w:val="clear" w:color="auto" w:fill="auto"/>
            <w:noWrap/>
            <w:vAlign w:val="bottom"/>
            <w:hideMark/>
          </w:tcPr>
          <w:p w14:paraId="3237D099" w14:textId="77777777" w:rsidR="00DE1643" w:rsidRPr="0098717E" w:rsidRDefault="00DE1643" w:rsidP="00387AD9">
            <w:pPr>
              <w:rPr>
                <w:sz w:val="20"/>
                <w:szCs w:val="20"/>
                <w:lang w:val="en-US" w:eastAsia="en-CA"/>
              </w:rPr>
            </w:pPr>
          </w:p>
        </w:tc>
        <w:tc>
          <w:tcPr>
            <w:tcW w:w="1427" w:type="dxa"/>
            <w:shd w:val="clear" w:color="auto" w:fill="E7E6E6" w:themeFill="background2"/>
            <w:noWrap/>
            <w:vAlign w:val="bottom"/>
            <w:hideMark/>
          </w:tcPr>
          <w:p w14:paraId="224A4943"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0</w:t>
            </w:r>
          </w:p>
        </w:tc>
        <w:tc>
          <w:tcPr>
            <w:tcW w:w="2117" w:type="dxa"/>
            <w:shd w:val="clear" w:color="auto" w:fill="auto"/>
            <w:noWrap/>
            <w:vAlign w:val="bottom"/>
            <w:hideMark/>
          </w:tcPr>
          <w:p w14:paraId="16E9545A" w14:textId="77777777" w:rsidR="00DE1643" w:rsidRPr="0098717E" w:rsidRDefault="00DE1643" w:rsidP="00387AD9">
            <w:pP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Methylphenidate (20)</w:t>
            </w:r>
          </w:p>
        </w:tc>
        <w:tc>
          <w:tcPr>
            <w:tcW w:w="607" w:type="dxa"/>
            <w:shd w:val="clear" w:color="auto" w:fill="E7E6E6" w:themeFill="background2"/>
            <w:noWrap/>
            <w:vAlign w:val="bottom"/>
            <w:hideMark/>
          </w:tcPr>
          <w:p w14:paraId="1055BF57"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1</w:t>
            </w:r>
          </w:p>
        </w:tc>
        <w:tc>
          <w:tcPr>
            <w:tcW w:w="1424" w:type="dxa"/>
            <w:shd w:val="clear" w:color="auto" w:fill="AEAAAA" w:themeFill="background2" w:themeFillShade="BF"/>
            <w:noWrap/>
            <w:vAlign w:val="bottom"/>
            <w:hideMark/>
          </w:tcPr>
          <w:p w14:paraId="449A1A63"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1</w:t>
            </w:r>
          </w:p>
        </w:tc>
      </w:tr>
      <w:tr w:rsidR="00DE1643" w:rsidRPr="0098717E" w14:paraId="52F49146" w14:textId="77777777" w:rsidTr="00B815A9">
        <w:trPr>
          <w:trHeight w:val="292"/>
        </w:trPr>
        <w:tc>
          <w:tcPr>
            <w:tcW w:w="1190" w:type="dxa"/>
            <w:shd w:val="clear" w:color="auto" w:fill="auto"/>
            <w:noWrap/>
            <w:vAlign w:val="bottom"/>
            <w:hideMark/>
          </w:tcPr>
          <w:p w14:paraId="184ACEAD" w14:textId="77777777" w:rsidR="00DE1643" w:rsidRPr="0098717E" w:rsidRDefault="00DE1643" w:rsidP="00387AD9">
            <w:pPr>
              <w:jc w:val="right"/>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3</w:t>
            </w:r>
          </w:p>
        </w:tc>
        <w:tc>
          <w:tcPr>
            <w:tcW w:w="1924" w:type="dxa"/>
            <w:shd w:val="clear" w:color="auto" w:fill="auto"/>
            <w:noWrap/>
            <w:vAlign w:val="bottom"/>
            <w:hideMark/>
          </w:tcPr>
          <w:p w14:paraId="08E7749B" w14:textId="77777777" w:rsidR="00DE1643" w:rsidRPr="0098717E" w:rsidRDefault="00DE1643" w:rsidP="00387AD9">
            <w:pP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Citalopram (10)</w:t>
            </w:r>
          </w:p>
        </w:tc>
        <w:tc>
          <w:tcPr>
            <w:tcW w:w="1230" w:type="dxa"/>
            <w:shd w:val="clear" w:color="auto" w:fill="E7E6E6" w:themeFill="background2"/>
            <w:noWrap/>
            <w:vAlign w:val="bottom"/>
            <w:hideMark/>
          </w:tcPr>
          <w:p w14:paraId="327102CD"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1</w:t>
            </w:r>
          </w:p>
        </w:tc>
        <w:tc>
          <w:tcPr>
            <w:tcW w:w="1747" w:type="dxa"/>
            <w:shd w:val="clear" w:color="auto" w:fill="auto"/>
            <w:noWrap/>
            <w:vAlign w:val="bottom"/>
            <w:hideMark/>
          </w:tcPr>
          <w:p w14:paraId="3485378F" w14:textId="77777777" w:rsidR="00DE1643" w:rsidRPr="0098717E" w:rsidRDefault="00DE1643" w:rsidP="00387AD9">
            <w:pPr>
              <w:jc w:val="right"/>
              <w:rPr>
                <w:rFonts w:ascii="Calibri" w:hAnsi="Calibri" w:cs="Calibri"/>
                <w:color w:val="000000"/>
                <w:sz w:val="20"/>
                <w:szCs w:val="20"/>
                <w:lang w:val="en-US" w:eastAsia="en-CA"/>
              </w:rPr>
            </w:pPr>
          </w:p>
        </w:tc>
        <w:tc>
          <w:tcPr>
            <w:tcW w:w="1559" w:type="dxa"/>
            <w:shd w:val="clear" w:color="auto" w:fill="auto"/>
            <w:noWrap/>
            <w:vAlign w:val="bottom"/>
            <w:hideMark/>
          </w:tcPr>
          <w:p w14:paraId="75B12E8E" w14:textId="77777777" w:rsidR="00DE1643" w:rsidRPr="0098717E" w:rsidRDefault="00DE1643" w:rsidP="00387AD9">
            <w:pPr>
              <w:rPr>
                <w:sz w:val="20"/>
                <w:szCs w:val="20"/>
                <w:lang w:val="en-US" w:eastAsia="en-CA"/>
              </w:rPr>
            </w:pPr>
          </w:p>
        </w:tc>
        <w:tc>
          <w:tcPr>
            <w:tcW w:w="1427" w:type="dxa"/>
            <w:shd w:val="clear" w:color="auto" w:fill="E7E6E6" w:themeFill="background2"/>
            <w:noWrap/>
            <w:vAlign w:val="bottom"/>
            <w:hideMark/>
          </w:tcPr>
          <w:p w14:paraId="2953F3F9"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0</w:t>
            </w:r>
          </w:p>
        </w:tc>
        <w:tc>
          <w:tcPr>
            <w:tcW w:w="2117" w:type="dxa"/>
            <w:shd w:val="clear" w:color="auto" w:fill="auto"/>
            <w:noWrap/>
            <w:vAlign w:val="bottom"/>
            <w:hideMark/>
          </w:tcPr>
          <w:p w14:paraId="14C37100" w14:textId="77777777" w:rsidR="00DE1643" w:rsidRPr="0098717E" w:rsidRDefault="00DE1643" w:rsidP="00387AD9">
            <w:pPr>
              <w:jc w:val="right"/>
              <w:rPr>
                <w:rFonts w:ascii="Calibri" w:hAnsi="Calibri" w:cs="Calibri"/>
                <w:color w:val="000000"/>
                <w:sz w:val="20"/>
                <w:szCs w:val="20"/>
                <w:lang w:val="en-US" w:eastAsia="en-CA"/>
              </w:rPr>
            </w:pPr>
          </w:p>
        </w:tc>
        <w:tc>
          <w:tcPr>
            <w:tcW w:w="607" w:type="dxa"/>
            <w:shd w:val="clear" w:color="auto" w:fill="E7E6E6" w:themeFill="background2"/>
            <w:noWrap/>
            <w:vAlign w:val="bottom"/>
            <w:hideMark/>
          </w:tcPr>
          <w:p w14:paraId="28D2C2CD"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0</w:t>
            </w:r>
          </w:p>
        </w:tc>
        <w:tc>
          <w:tcPr>
            <w:tcW w:w="1424" w:type="dxa"/>
            <w:shd w:val="clear" w:color="auto" w:fill="AEAAAA" w:themeFill="background2" w:themeFillShade="BF"/>
            <w:noWrap/>
            <w:vAlign w:val="bottom"/>
            <w:hideMark/>
          </w:tcPr>
          <w:p w14:paraId="3887F5FC"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1</w:t>
            </w:r>
          </w:p>
        </w:tc>
      </w:tr>
      <w:tr w:rsidR="00DE1643" w:rsidRPr="0098717E" w14:paraId="18FE625F" w14:textId="77777777" w:rsidTr="00B815A9">
        <w:trPr>
          <w:trHeight w:val="292"/>
        </w:trPr>
        <w:tc>
          <w:tcPr>
            <w:tcW w:w="1190" w:type="dxa"/>
            <w:shd w:val="clear" w:color="auto" w:fill="auto"/>
            <w:noWrap/>
            <w:vAlign w:val="bottom"/>
            <w:hideMark/>
          </w:tcPr>
          <w:p w14:paraId="0B760446" w14:textId="77777777" w:rsidR="00DE1643" w:rsidRPr="0098717E" w:rsidRDefault="00DE1643" w:rsidP="00387AD9">
            <w:pPr>
              <w:jc w:val="right"/>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4</w:t>
            </w:r>
          </w:p>
        </w:tc>
        <w:tc>
          <w:tcPr>
            <w:tcW w:w="1924" w:type="dxa"/>
            <w:shd w:val="clear" w:color="auto" w:fill="auto"/>
            <w:noWrap/>
            <w:vAlign w:val="bottom"/>
            <w:hideMark/>
          </w:tcPr>
          <w:p w14:paraId="498E9CBD" w14:textId="14B7FDD6" w:rsidR="00DE1643" w:rsidRPr="0098717E" w:rsidRDefault="00DE1643" w:rsidP="00387AD9">
            <w:pPr>
              <w:jc w:val="right"/>
              <w:rPr>
                <w:rFonts w:ascii="Calibri" w:hAnsi="Calibri" w:cs="Calibri"/>
                <w:color w:val="000000"/>
                <w:sz w:val="20"/>
                <w:szCs w:val="20"/>
                <w:lang w:val="en-US" w:eastAsia="en-CA"/>
              </w:rPr>
            </w:pPr>
          </w:p>
        </w:tc>
        <w:tc>
          <w:tcPr>
            <w:tcW w:w="1230" w:type="dxa"/>
            <w:shd w:val="clear" w:color="auto" w:fill="E7E6E6" w:themeFill="background2"/>
            <w:noWrap/>
            <w:vAlign w:val="bottom"/>
            <w:hideMark/>
          </w:tcPr>
          <w:p w14:paraId="7F1FD80C"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0</w:t>
            </w:r>
          </w:p>
        </w:tc>
        <w:tc>
          <w:tcPr>
            <w:tcW w:w="1747" w:type="dxa"/>
            <w:shd w:val="clear" w:color="auto" w:fill="auto"/>
            <w:noWrap/>
            <w:vAlign w:val="bottom"/>
            <w:hideMark/>
          </w:tcPr>
          <w:p w14:paraId="03B038F4" w14:textId="77777777" w:rsidR="00DE1643" w:rsidRPr="0098717E" w:rsidRDefault="00DE1643" w:rsidP="00387AD9">
            <w:pPr>
              <w:jc w:val="right"/>
              <w:rPr>
                <w:rFonts w:ascii="Calibri" w:hAnsi="Calibri" w:cs="Calibri"/>
                <w:color w:val="000000"/>
                <w:sz w:val="20"/>
                <w:szCs w:val="20"/>
                <w:lang w:val="en-US" w:eastAsia="en-CA"/>
              </w:rPr>
            </w:pPr>
          </w:p>
        </w:tc>
        <w:tc>
          <w:tcPr>
            <w:tcW w:w="1559" w:type="dxa"/>
            <w:shd w:val="clear" w:color="auto" w:fill="auto"/>
            <w:noWrap/>
            <w:vAlign w:val="bottom"/>
            <w:hideMark/>
          </w:tcPr>
          <w:p w14:paraId="1A858E08" w14:textId="77777777" w:rsidR="00DE1643" w:rsidRPr="0098717E" w:rsidRDefault="00DE1643" w:rsidP="00387AD9">
            <w:pPr>
              <w:rPr>
                <w:sz w:val="20"/>
                <w:szCs w:val="20"/>
                <w:lang w:val="en-US" w:eastAsia="en-CA"/>
              </w:rPr>
            </w:pPr>
          </w:p>
        </w:tc>
        <w:tc>
          <w:tcPr>
            <w:tcW w:w="1427" w:type="dxa"/>
            <w:shd w:val="clear" w:color="auto" w:fill="E7E6E6" w:themeFill="background2"/>
            <w:noWrap/>
            <w:vAlign w:val="bottom"/>
            <w:hideMark/>
          </w:tcPr>
          <w:p w14:paraId="10A694E3"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0</w:t>
            </w:r>
          </w:p>
        </w:tc>
        <w:tc>
          <w:tcPr>
            <w:tcW w:w="2117" w:type="dxa"/>
            <w:shd w:val="clear" w:color="auto" w:fill="auto"/>
            <w:noWrap/>
            <w:vAlign w:val="bottom"/>
            <w:hideMark/>
          </w:tcPr>
          <w:p w14:paraId="61AA82FB" w14:textId="0771439D" w:rsidR="00DE1643" w:rsidRPr="0098717E" w:rsidRDefault="00DE1643" w:rsidP="00387AD9">
            <w:pP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Methylphenidate</w:t>
            </w:r>
            <w:r w:rsidR="0098717E">
              <w:rPr>
                <w:rFonts w:ascii="Calibri" w:hAnsi="Calibri" w:cs="Calibri"/>
                <w:color w:val="000000"/>
                <w:sz w:val="20"/>
                <w:szCs w:val="20"/>
                <w:lang w:val="en-US" w:eastAsia="en-CA"/>
              </w:rPr>
              <w:t xml:space="preserve"> </w:t>
            </w:r>
            <w:r w:rsidRPr="0098717E">
              <w:rPr>
                <w:rFonts w:ascii="Calibri" w:hAnsi="Calibri" w:cs="Calibri"/>
                <w:color w:val="000000"/>
                <w:sz w:val="20"/>
                <w:szCs w:val="20"/>
                <w:lang w:val="en-US" w:eastAsia="en-CA"/>
              </w:rPr>
              <w:t>(20)</w:t>
            </w:r>
          </w:p>
        </w:tc>
        <w:tc>
          <w:tcPr>
            <w:tcW w:w="607" w:type="dxa"/>
            <w:shd w:val="clear" w:color="auto" w:fill="E7E6E6" w:themeFill="background2"/>
            <w:noWrap/>
            <w:hideMark/>
          </w:tcPr>
          <w:p w14:paraId="656FD210" w14:textId="77777777" w:rsidR="00DE1643" w:rsidRPr="00B815A9" w:rsidRDefault="00DE1643" w:rsidP="00B815A9">
            <w:pPr>
              <w:jc w:val="right"/>
              <w:rPr>
                <w:rFonts w:asciiTheme="minorHAnsi" w:hAnsiTheme="minorHAnsi" w:cstheme="minorHAnsi"/>
                <w:b/>
                <w:bCs/>
                <w:color w:val="000000"/>
                <w:sz w:val="20"/>
                <w:szCs w:val="20"/>
                <w:lang w:val="en-US" w:eastAsia="en-CA"/>
              </w:rPr>
            </w:pPr>
            <w:r w:rsidRPr="00B815A9">
              <w:rPr>
                <w:rFonts w:asciiTheme="minorHAnsi" w:hAnsiTheme="minorHAnsi" w:cstheme="minorHAnsi"/>
                <w:b/>
                <w:bCs/>
                <w:color w:val="000000"/>
                <w:sz w:val="20"/>
                <w:szCs w:val="20"/>
                <w:lang w:val="en-US" w:eastAsia="en-CA"/>
              </w:rPr>
              <w:t>1</w:t>
            </w:r>
          </w:p>
        </w:tc>
        <w:tc>
          <w:tcPr>
            <w:tcW w:w="1424" w:type="dxa"/>
            <w:shd w:val="clear" w:color="auto" w:fill="AEAAAA" w:themeFill="background2" w:themeFillShade="BF"/>
            <w:noWrap/>
            <w:vAlign w:val="bottom"/>
            <w:hideMark/>
          </w:tcPr>
          <w:p w14:paraId="0DDAABD2"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1</w:t>
            </w:r>
          </w:p>
        </w:tc>
      </w:tr>
      <w:tr w:rsidR="00DE1643" w:rsidRPr="0098717E" w14:paraId="358B4678" w14:textId="77777777" w:rsidTr="00B815A9">
        <w:trPr>
          <w:trHeight w:val="292"/>
        </w:trPr>
        <w:tc>
          <w:tcPr>
            <w:tcW w:w="1190" w:type="dxa"/>
            <w:shd w:val="clear" w:color="auto" w:fill="auto"/>
            <w:noWrap/>
            <w:vAlign w:val="bottom"/>
            <w:hideMark/>
          </w:tcPr>
          <w:p w14:paraId="72108A22" w14:textId="77777777" w:rsidR="00DE1643" w:rsidRPr="0098717E" w:rsidRDefault="00DE1643" w:rsidP="00387AD9">
            <w:pPr>
              <w:jc w:val="right"/>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5</w:t>
            </w:r>
          </w:p>
        </w:tc>
        <w:tc>
          <w:tcPr>
            <w:tcW w:w="1924" w:type="dxa"/>
            <w:shd w:val="clear" w:color="auto" w:fill="auto"/>
            <w:noWrap/>
            <w:vAlign w:val="bottom"/>
            <w:hideMark/>
          </w:tcPr>
          <w:p w14:paraId="7F904052" w14:textId="77777777" w:rsidR="00DE1643" w:rsidRPr="0098717E" w:rsidRDefault="00DE1643" w:rsidP="00387AD9">
            <w:pP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Citalopram (20)</w:t>
            </w:r>
          </w:p>
        </w:tc>
        <w:tc>
          <w:tcPr>
            <w:tcW w:w="1230" w:type="dxa"/>
            <w:shd w:val="clear" w:color="auto" w:fill="E7E6E6" w:themeFill="background2"/>
            <w:noWrap/>
            <w:vAlign w:val="bottom"/>
            <w:hideMark/>
          </w:tcPr>
          <w:p w14:paraId="5C00814C"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2</w:t>
            </w:r>
          </w:p>
        </w:tc>
        <w:tc>
          <w:tcPr>
            <w:tcW w:w="1747" w:type="dxa"/>
            <w:shd w:val="clear" w:color="auto" w:fill="auto"/>
            <w:noWrap/>
            <w:vAlign w:val="bottom"/>
            <w:hideMark/>
          </w:tcPr>
          <w:p w14:paraId="1A6D3606" w14:textId="77777777" w:rsidR="00DE1643" w:rsidRPr="0098717E" w:rsidRDefault="00DE1643" w:rsidP="00387AD9">
            <w:pPr>
              <w:jc w:val="right"/>
              <w:rPr>
                <w:rFonts w:ascii="Calibri" w:hAnsi="Calibri" w:cs="Calibri"/>
                <w:color w:val="000000"/>
                <w:sz w:val="20"/>
                <w:szCs w:val="20"/>
                <w:lang w:val="en-US" w:eastAsia="en-CA"/>
              </w:rPr>
            </w:pPr>
          </w:p>
        </w:tc>
        <w:tc>
          <w:tcPr>
            <w:tcW w:w="1559" w:type="dxa"/>
            <w:shd w:val="clear" w:color="auto" w:fill="auto"/>
            <w:noWrap/>
            <w:vAlign w:val="bottom"/>
            <w:hideMark/>
          </w:tcPr>
          <w:p w14:paraId="6ABE4FDB" w14:textId="77777777" w:rsidR="00DE1643" w:rsidRPr="0098717E" w:rsidRDefault="00DE1643" w:rsidP="00387AD9">
            <w:pPr>
              <w:rPr>
                <w:sz w:val="20"/>
                <w:szCs w:val="20"/>
                <w:lang w:val="en-US" w:eastAsia="en-CA"/>
              </w:rPr>
            </w:pPr>
          </w:p>
        </w:tc>
        <w:tc>
          <w:tcPr>
            <w:tcW w:w="1427" w:type="dxa"/>
            <w:shd w:val="clear" w:color="auto" w:fill="E7E6E6" w:themeFill="background2"/>
            <w:noWrap/>
            <w:vAlign w:val="bottom"/>
            <w:hideMark/>
          </w:tcPr>
          <w:p w14:paraId="220A6FEF"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0</w:t>
            </w:r>
          </w:p>
        </w:tc>
        <w:tc>
          <w:tcPr>
            <w:tcW w:w="2117" w:type="dxa"/>
            <w:shd w:val="clear" w:color="auto" w:fill="auto"/>
            <w:noWrap/>
            <w:vAlign w:val="bottom"/>
            <w:hideMark/>
          </w:tcPr>
          <w:p w14:paraId="0574E278" w14:textId="77777777" w:rsidR="00DE1643" w:rsidRPr="0098717E" w:rsidRDefault="00DE1643" w:rsidP="00387AD9">
            <w:pPr>
              <w:jc w:val="right"/>
              <w:rPr>
                <w:rFonts w:ascii="Calibri" w:hAnsi="Calibri" w:cs="Calibri"/>
                <w:color w:val="000000"/>
                <w:sz w:val="20"/>
                <w:szCs w:val="20"/>
                <w:lang w:val="en-US" w:eastAsia="en-CA"/>
              </w:rPr>
            </w:pPr>
          </w:p>
        </w:tc>
        <w:tc>
          <w:tcPr>
            <w:tcW w:w="607" w:type="dxa"/>
            <w:shd w:val="clear" w:color="auto" w:fill="E7E6E6" w:themeFill="background2"/>
            <w:noWrap/>
            <w:hideMark/>
          </w:tcPr>
          <w:p w14:paraId="7020C35F" w14:textId="5AF97629" w:rsidR="00DE1643" w:rsidRPr="00B815A9" w:rsidRDefault="00B815A9" w:rsidP="00B815A9">
            <w:pPr>
              <w:jc w:val="right"/>
              <w:rPr>
                <w:rFonts w:asciiTheme="minorHAnsi" w:hAnsiTheme="minorHAnsi" w:cstheme="minorHAnsi"/>
                <w:b/>
                <w:bCs/>
                <w:sz w:val="20"/>
                <w:szCs w:val="20"/>
                <w:lang w:val="en-US" w:eastAsia="en-CA"/>
              </w:rPr>
            </w:pPr>
            <w:r w:rsidRPr="00B815A9">
              <w:rPr>
                <w:rFonts w:asciiTheme="minorHAnsi" w:hAnsiTheme="minorHAnsi" w:cstheme="minorHAnsi"/>
                <w:b/>
                <w:bCs/>
                <w:sz w:val="20"/>
                <w:szCs w:val="20"/>
                <w:lang w:val="en-US" w:eastAsia="en-CA"/>
              </w:rPr>
              <w:t>0</w:t>
            </w:r>
          </w:p>
        </w:tc>
        <w:tc>
          <w:tcPr>
            <w:tcW w:w="1424" w:type="dxa"/>
            <w:shd w:val="clear" w:color="auto" w:fill="AEAAAA" w:themeFill="background2" w:themeFillShade="BF"/>
            <w:noWrap/>
            <w:vAlign w:val="bottom"/>
            <w:hideMark/>
          </w:tcPr>
          <w:p w14:paraId="33F4130A"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2</w:t>
            </w:r>
          </w:p>
        </w:tc>
      </w:tr>
      <w:tr w:rsidR="00DE1643" w:rsidRPr="0098717E" w14:paraId="07D767F6" w14:textId="77777777" w:rsidTr="00B815A9">
        <w:trPr>
          <w:trHeight w:val="292"/>
        </w:trPr>
        <w:tc>
          <w:tcPr>
            <w:tcW w:w="1190" w:type="dxa"/>
            <w:shd w:val="clear" w:color="auto" w:fill="auto"/>
            <w:noWrap/>
            <w:vAlign w:val="bottom"/>
            <w:hideMark/>
          </w:tcPr>
          <w:p w14:paraId="3B1B2949" w14:textId="77777777" w:rsidR="00DE1643" w:rsidRPr="0098717E" w:rsidRDefault="00DE1643" w:rsidP="00387AD9">
            <w:pPr>
              <w:jc w:val="right"/>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6</w:t>
            </w:r>
          </w:p>
        </w:tc>
        <w:tc>
          <w:tcPr>
            <w:tcW w:w="1924" w:type="dxa"/>
            <w:shd w:val="clear" w:color="auto" w:fill="auto"/>
            <w:noWrap/>
            <w:vAlign w:val="bottom"/>
            <w:hideMark/>
          </w:tcPr>
          <w:p w14:paraId="1C0B9822" w14:textId="77777777" w:rsidR="00DE1643" w:rsidRPr="0098717E" w:rsidRDefault="00DE1643" w:rsidP="00387AD9">
            <w:pP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Fluoxetine (20)</w:t>
            </w:r>
          </w:p>
        </w:tc>
        <w:tc>
          <w:tcPr>
            <w:tcW w:w="1230" w:type="dxa"/>
            <w:shd w:val="clear" w:color="auto" w:fill="E7E6E6" w:themeFill="background2"/>
            <w:noWrap/>
            <w:vAlign w:val="bottom"/>
            <w:hideMark/>
          </w:tcPr>
          <w:p w14:paraId="03D81630"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2</w:t>
            </w:r>
          </w:p>
        </w:tc>
        <w:tc>
          <w:tcPr>
            <w:tcW w:w="1747" w:type="dxa"/>
            <w:shd w:val="clear" w:color="auto" w:fill="auto"/>
            <w:noWrap/>
            <w:vAlign w:val="bottom"/>
            <w:hideMark/>
          </w:tcPr>
          <w:p w14:paraId="13D7EE01" w14:textId="77777777" w:rsidR="00DE1643" w:rsidRPr="0098717E" w:rsidRDefault="00DE1643" w:rsidP="00387AD9">
            <w:pPr>
              <w:jc w:val="right"/>
              <w:rPr>
                <w:rFonts w:ascii="Calibri" w:hAnsi="Calibri" w:cs="Calibri"/>
                <w:color w:val="000000"/>
                <w:sz w:val="20"/>
                <w:szCs w:val="20"/>
                <w:lang w:val="en-US" w:eastAsia="en-CA"/>
              </w:rPr>
            </w:pPr>
          </w:p>
        </w:tc>
        <w:tc>
          <w:tcPr>
            <w:tcW w:w="1559" w:type="dxa"/>
            <w:shd w:val="clear" w:color="auto" w:fill="auto"/>
            <w:noWrap/>
            <w:vAlign w:val="bottom"/>
            <w:hideMark/>
          </w:tcPr>
          <w:p w14:paraId="5DD2698A" w14:textId="77777777" w:rsidR="00DE1643" w:rsidRPr="0098717E" w:rsidRDefault="00DE1643" w:rsidP="00387AD9">
            <w:pPr>
              <w:rPr>
                <w:sz w:val="20"/>
                <w:szCs w:val="20"/>
                <w:lang w:val="en-US" w:eastAsia="en-CA"/>
              </w:rPr>
            </w:pPr>
          </w:p>
        </w:tc>
        <w:tc>
          <w:tcPr>
            <w:tcW w:w="1427" w:type="dxa"/>
            <w:shd w:val="clear" w:color="auto" w:fill="E7E6E6" w:themeFill="background2"/>
            <w:noWrap/>
            <w:vAlign w:val="bottom"/>
            <w:hideMark/>
          </w:tcPr>
          <w:p w14:paraId="6C27B06B"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0</w:t>
            </w:r>
          </w:p>
        </w:tc>
        <w:tc>
          <w:tcPr>
            <w:tcW w:w="2117" w:type="dxa"/>
            <w:shd w:val="clear" w:color="auto" w:fill="auto"/>
            <w:noWrap/>
            <w:vAlign w:val="bottom"/>
            <w:hideMark/>
          </w:tcPr>
          <w:p w14:paraId="49A7D82E" w14:textId="77777777" w:rsidR="00DE1643" w:rsidRPr="0098717E" w:rsidRDefault="00DE1643" w:rsidP="00387AD9">
            <w:pPr>
              <w:jc w:val="right"/>
              <w:rPr>
                <w:rFonts w:ascii="Calibri" w:hAnsi="Calibri" w:cs="Calibri"/>
                <w:color w:val="000000"/>
                <w:sz w:val="20"/>
                <w:szCs w:val="20"/>
                <w:lang w:val="en-US" w:eastAsia="en-CA"/>
              </w:rPr>
            </w:pPr>
          </w:p>
        </w:tc>
        <w:tc>
          <w:tcPr>
            <w:tcW w:w="607" w:type="dxa"/>
            <w:shd w:val="clear" w:color="auto" w:fill="E7E6E6" w:themeFill="background2"/>
            <w:noWrap/>
            <w:hideMark/>
          </w:tcPr>
          <w:p w14:paraId="471D3859" w14:textId="77777777" w:rsidR="00DE1643" w:rsidRPr="00B815A9" w:rsidRDefault="00DE1643" w:rsidP="00B815A9">
            <w:pPr>
              <w:jc w:val="right"/>
              <w:rPr>
                <w:rFonts w:asciiTheme="minorHAnsi" w:hAnsiTheme="minorHAnsi" w:cstheme="minorHAnsi"/>
                <w:b/>
                <w:bCs/>
                <w:color w:val="000000"/>
                <w:sz w:val="20"/>
                <w:szCs w:val="20"/>
                <w:lang w:val="en-US" w:eastAsia="en-CA"/>
              </w:rPr>
            </w:pPr>
            <w:r w:rsidRPr="00B815A9">
              <w:rPr>
                <w:rFonts w:asciiTheme="minorHAnsi" w:hAnsiTheme="minorHAnsi" w:cstheme="minorHAnsi"/>
                <w:b/>
                <w:bCs/>
                <w:color w:val="000000"/>
                <w:sz w:val="20"/>
                <w:szCs w:val="20"/>
                <w:lang w:val="en-US" w:eastAsia="en-CA"/>
              </w:rPr>
              <w:t>0</w:t>
            </w:r>
          </w:p>
        </w:tc>
        <w:tc>
          <w:tcPr>
            <w:tcW w:w="1424" w:type="dxa"/>
            <w:shd w:val="clear" w:color="auto" w:fill="AEAAAA" w:themeFill="background2" w:themeFillShade="BF"/>
            <w:noWrap/>
            <w:vAlign w:val="bottom"/>
            <w:hideMark/>
          </w:tcPr>
          <w:p w14:paraId="47078DCA"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2</w:t>
            </w:r>
          </w:p>
        </w:tc>
      </w:tr>
      <w:tr w:rsidR="00DE1643" w:rsidRPr="0098717E" w14:paraId="10BB456E" w14:textId="77777777" w:rsidTr="00B815A9">
        <w:trPr>
          <w:trHeight w:val="292"/>
        </w:trPr>
        <w:tc>
          <w:tcPr>
            <w:tcW w:w="1190" w:type="dxa"/>
            <w:shd w:val="clear" w:color="auto" w:fill="auto"/>
            <w:noWrap/>
            <w:vAlign w:val="bottom"/>
            <w:hideMark/>
          </w:tcPr>
          <w:p w14:paraId="6DBBF938" w14:textId="77777777" w:rsidR="00DE1643" w:rsidRPr="0098717E" w:rsidRDefault="00DE1643" w:rsidP="00387AD9">
            <w:pPr>
              <w:jc w:val="right"/>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7</w:t>
            </w:r>
          </w:p>
        </w:tc>
        <w:tc>
          <w:tcPr>
            <w:tcW w:w="1924" w:type="dxa"/>
            <w:shd w:val="clear" w:color="auto" w:fill="auto"/>
            <w:noWrap/>
            <w:vAlign w:val="bottom"/>
            <w:hideMark/>
          </w:tcPr>
          <w:p w14:paraId="5F54C3AA" w14:textId="77777777" w:rsidR="00DE1643" w:rsidRPr="0098717E" w:rsidRDefault="00DE1643" w:rsidP="00387AD9">
            <w:pP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Venlafaxine (225)</w:t>
            </w:r>
          </w:p>
        </w:tc>
        <w:tc>
          <w:tcPr>
            <w:tcW w:w="1230" w:type="dxa"/>
            <w:shd w:val="clear" w:color="auto" w:fill="E7E6E6" w:themeFill="background2"/>
            <w:noWrap/>
            <w:vAlign w:val="bottom"/>
            <w:hideMark/>
          </w:tcPr>
          <w:p w14:paraId="51E3475E"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2</w:t>
            </w:r>
          </w:p>
        </w:tc>
        <w:tc>
          <w:tcPr>
            <w:tcW w:w="1747" w:type="dxa"/>
            <w:shd w:val="clear" w:color="auto" w:fill="auto"/>
            <w:noWrap/>
            <w:vAlign w:val="bottom"/>
            <w:hideMark/>
          </w:tcPr>
          <w:p w14:paraId="1735CF98" w14:textId="77777777" w:rsidR="00DE1643" w:rsidRPr="0098717E" w:rsidRDefault="00DE1643" w:rsidP="00387AD9">
            <w:pPr>
              <w:jc w:val="right"/>
              <w:rPr>
                <w:rFonts w:ascii="Calibri" w:hAnsi="Calibri" w:cs="Calibri"/>
                <w:color w:val="000000"/>
                <w:sz w:val="20"/>
                <w:szCs w:val="20"/>
                <w:lang w:val="en-US" w:eastAsia="en-CA"/>
              </w:rPr>
            </w:pPr>
          </w:p>
        </w:tc>
        <w:tc>
          <w:tcPr>
            <w:tcW w:w="1559" w:type="dxa"/>
            <w:shd w:val="clear" w:color="auto" w:fill="auto"/>
            <w:noWrap/>
            <w:vAlign w:val="bottom"/>
            <w:hideMark/>
          </w:tcPr>
          <w:p w14:paraId="0669CA05" w14:textId="77777777" w:rsidR="00DE1643" w:rsidRPr="0098717E" w:rsidRDefault="00DE1643" w:rsidP="00387AD9">
            <w:pPr>
              <w:rPr>
                <w:sz w:val="20"/>
                <w:szCs w:val="20"/>
                <w:lang w:val="en-US" w:eastAsia="en-CA"/>
              </w:rPr>
            </w:pPr>
          </w:p>
        </w:tc>
        <w:tc>
          <w:tcPr>
            <w:tcW w:w="1427" w:type="dxa"/>
            <w:shd w:val="clear" w:color="auto" w:fill="E7E6E6" w:themeFill="background2"/>
            <w:noWrap/>
            <w:vAlign w:val="bottom"/>
            <w:hideMark/>
          </w:tcPr>
          <w:p w14:paraId="2377E674"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0</w:t>
            </w:r>
          </w:p>
        </w:tc>
        <w:tc>
          <w:tcPr>
            <w:tcW w:w="2117" w:type="dxa"/>
            <w:shd w:val="clear" w:color="auto" w:fill="auto"/>
            <w:noWrap/>
            <w:vAlign w:val="bottom"/>
            <w:hideMark/>
          </w:tcPr>
          <w:p w14:paraId="49D0B24D" w14:textId="77777777" w:rsidR="00DE1643" w:rsidRPr="0098717E" w:rsidRDefault="00DE1643" w:rsidP="00387AD9">
            <w:pPr>
              <w:jc w:val="right"/>
              <w:rPr>
                <w:rFonts w:ascii="Calibri" w:hAnsi="Calibri" w:cs="Calibri"/>
                <w:color w:val="000000"/>
                <w:sz w:val="20"/>
                <w:szCs w:val="20"/>
                <w:lang w:val="en-US" w:eastAsia="en-CA"/>
              </w:rPr>
            </w:pPr>
          </w:p>
        </w:tc>
        <w:tc>
          <w:tcPr>
            <w:tcW w:w="607" w:type="dxa"/>
            <w:shd w:val="clear" w:color="auto" w:fill="E7E6E6" w:themeFill="background2"/>
            <w:noWrap/>
            <w:vAlign w:val="bottom"/>
            <w:hideMark/>
          </w:tcPr>
          <w:p w14:paraId="66551CB8"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0</w:t>
            </w:r>
          </w:p>
        </w:tc>
        <w:tc>
          <w:tcPr>
            <w:tcW w:w="1424" w:type="dxa"/>
            <w:shd w:val="clear" w:color="auto" w:fill="AEAAAA" w:themeFill="background2" w:themeFillShade="BF"/>
            <w:noWrap/>
            <w:vAlign w:val="bottom"/>
            <w:hideMark/>
          </w:tcPr>
          <w:p w14:paraId="6A3BBC7F"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2</w:t>
            </w:r>
          </w:p>
        </w:tc>
      </w:tr>
      <w:tr w:rsidR="00DE1643" w:rsidRPr="0098717E" w14:paraId="6E1C6D81" w14:textId="77777777" w:rsidTr="00B815A9">
        <w:trPr>
          <w:trHeight w:val="292"/>
        </w:trPr>
        <w:tc>
          <w:tcPr>
            <w:tcW w:w="1190" w:type="dxa"/>
            <w:shd w:val="clear" w:color="auto" w:fill="auto"/>
            <w:noWrap/>
            <w:vAlign w:val="bottom"/>
            <w:hideMark/>
          </w:tcPr>
          <w:p w14:paraId="7B635903" w14:textId="77777777" w:rsidR="00DE1643" w:rsidRPr="0098717E" w:rsidRDefault="00DE1643" w:rsidP="00387AD9">
            <w:pPr>
              <w:jc w:val="right"/>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8</w:t>
            </w:r>
          </w:p>
        </w:tc>
        <w:tc>
          <w:tcPr>
            <w:tcW w:w="1924" w:type="dxa"/>
            <w:shd w:val="clear" w:color="auto" w:fill="auto"/>
            <w:noWrap/>
            <w:vAlign w:val="bottom"/>
            <w:hideMark/>
          </w:tcPr>
          <w:p w14:paraId="2D5AAFF1" w14:textId="77777777" w:rsidR="00DE1643" w:rsidRPr="0098717E" w:rsidRDefault="00DE1643" w:rsidP="00387AD9">
            <w:pP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Fluoxetine (20)</w:t>
            </w:r>
          </w:p>
        </w:tc>
        <w:tc>
          <w:tcPr>
            <w:tcW w:w="1230" w:type="dxa"/>
            <w:shd w:val="clear" w:color="auto" w:fill="E7E6E6" w:themeFill="background2"/>
            <w:noWrap/>
            <w:vAlign w:val="bottom"/>
            <w:hideMark/>
          </w:tcPr>
          <w:p w14:paraId="0B1C811A"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2</w:t>
            </w:r>
          </w:p>
        </w:tc>
        <w:tc>
          <w:tcPr>
            <w:tcW w:w="1747" w:type="dxa"/>
            <w:shd w:val="clear" w:color="auto" w:fill="auto"/>
            <w:noWrap/>
            <w:vAlign w:val="bottom"/>
            <w:hideMark/>
          </w:tcPr>
          <w:p w14:paraId="5F918009" w14:textId="77777777" w:rsidR="00DE1643" w:rsidRPr="0098717E" w:rsidRDefault="00DE1643" w:rsidP="00387AD9">
            <w:pPr>
              <w:jc w:val="right"/>
              <w:rPr>
                <w:rFonts w:ascii="Calibri" w:hAnsi="Calibri" w:cs="Calibri"/>
                <w:color w:val="000000"/>
                <w:sz w:val="20"/>
                <w:szCs w:val="20"/>
                <w:lang w:val="en-US" w:eastAsia="en-CA"/>
              </w:rPr>
            </w:pPr>
          </w:p>
        </w:tc>
        <w:tc>
          <w:tcPr>
            <w:tcW w:w="1559" w:type="dxa"/>
            <w:shd w:val="clear" w:color="auto" w:fill="auto"/>
            <w:noWrap/>
            <w:vAlign w:val="bottom"/>
            <w:hideMark/>
          </w:tcPr>
          <w:p w14:paraId="6BE9BEF2" w14:textId="77777777" w:rsidR="00DE1643" w:rsidRPr="0098717E" w:rsidRDefault="00DE1643" w:rsidP="00387AD9">
            <w:pPr>
              <w:rPr>
                <w:sz w:val="20"/>
                <w:szCs w:val="20"/>
                <w:lang w:val="en-US" w:eastAsia="en-CA"/>
              </w:rPr>
            </w:pPr>
          </w:p>
        </w:tc>
        <w:tc>
          <w:tcPr>
            <w:tcW w:w="1427" w:type="dxa"/>
            <w:shd w:val="clear" w:color="auto" w:fill="E7E6E6" w:themeFill="background2"/>
            <w:noWrap/>
            <w:vAlign w:val="bottom"/>
            <w:hideMark/>
          </w:tcPr>
          <w:p w14:paraId="014F366A"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0</w:t>
            </w:r>
          </w:p>
        </w:tc>
        <w:tc>
          <w:tcPr>
            <w:tcW w:w="2117" w:type="dxa"/>
            <w:shd w:val="clear" w:color="auto" w:fill="auto"/>
            <w:noWrap/>
            <w:vAlign w:val="bottom"/>
            <w:hideMark/>
          </w:tcPr>
          <w:p w14:paraId="56E73495" w14:textId="77777777" w:rsidR="00DE1643" w:rsidRPr="0098717E" w:rsidRDefault="00DE1643" w:rsidP="00387AD9">
            <w:pPr>
              <w:jc w:val="right"/>
              <w:rPr>
                <w:rFonts w:ascii="Calibri" w:hAnsi="Calibri" w:cs="Calibri"/>
                <w:color w:val="000000"/>
                <w:sz w:val="20"/>
                <w:szCs w:val="20"/>
                <w:lang w:val="en-US" w:eastAsia="en-CA"/>
              </w:rPr>
            </w:pPr>
          </w:p>
        </w:tc>
        <w:tc>
          <w:tcPr>
            <w:tcW w:w="607" w:type="dxa"/>
            <w:shd w:val="clear" w:color="auto" w:fill="E7E6E6" w:themeFill="background2"/>
            <w:noWrap/>
            <w:vAlign w:val="bottom"/>
            <w:hideMark/>
          </w:tcPr>
          <w:p w14:paraId="7ED91B2F"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0</w:t>
            </w:r>
          </w:p>
        </w:tc>
        <w:tc>
          <w:tcPr>
            <w:tcW w:w="1424" w:type="dxa"/>
            <w:shd w:val="clear" w:color="auto" w:fill="AEAAAA" w:themeFill="background2" w:themeFillShade="BF"/>
            <w:noWrap/>
            <w:vAlign w:val="bottom"/>
            <w:hideMark/>
          </w:tcPr>
          <w:p w14:paraId="69F4C452"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2</w:t>
            </w:r>
          </w:p>
        </w:tc>
      </w:tr>
      <w:tr w:rsidR="00DE1643" w:rsidRPr="0098717E" w14:paraId="73546042" w14:textId="77777777" w:rsidTr="00B815A9">
        <w:trPr>
          <w:trHeight w:val="292"/>
        </w:trPr>
        <w:tc>
          <w:tcPr>
            <w:tcW w:w="1190" w:type="dxa"/>
            <w:shd w:val="clear" w:color="auto" w:fill="auto"/>
            <w:noWrap/>
            <w:vAlign w:val="bottom"/>
            <w:hideMark/>
          </w:tcPr>
          <w:p w14:paraId="53A1E765" w14:textId="77777777" w:rsidR="00DE1643" w:rsidRPr="0098717E" w:rsidRDefault="00DE1643" w:rsidP="00387AD9">
            <w:pPr>
              <w:jc w:val="right"/>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9</w:t>
            </w:r>
          </w:p>
        </w:tc>
        <w:tc>
          <w:tcPr>
            <w:tcW w:w="1924" w:type="dxa"/>
            <w:shd w:val="clear" w:color="auto" w:fill="auto"/>
            <w:noWrap/>
            <w:vAlign w:val="bottom"/>
            <w:hideMark/>
          </w:tcPr>
          <w:p w14:paraId="0536FF83" w14:textId="77777777" w:rsidR="00DE1643" w:rsidRPr="0098717E" w:rsidRDefault="00DE1643" w:rsidP="00387AD9">
            <w:pP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Fluoxetine (60)</w:t>
            </w:r>
          </w:p>
        </w:tc>
        <w:tc>
          <w:tcPr>
            <w:tcW w:w="1230" w:type="dxa"/>
            <w:shd w:val="clear" w:color="auto" w:fill="E7E6E6" w:themeFill="background2"/>
            <w:noWrap/>
            <w:vAlign w:val="bottom"/>
            <w:hideMark/>
          </w:tcPr>
          <w:p w14:paraId="29F4F4B2"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2</w:t>
            </w:r>
          </w:p>
        </w:tc>
        <w:tc>
          <w:tcPr>
            <w:tcW w:w="1747" w:type="dxa"/>
            <w:shd w:val="clear" w:color="auto" w:fill="auto"/>
            <w:noWrap/>
            <w:vAlign w:val="bottom"/>
            <w:hideMark/>
          </w:tcPr>
          <w:p w14:paraId="355C1BAB" w14:textId="77777777" w:rsidR="00DE1643" w:rsidRPr="0098717E" w:rsidRDefault="00DE1643" w:rsidP="00387AD9">
            <w:pPr>
              <w:jc w:val="right"/>
              <w:rPr>
                <w:rFonts w:ascii="Calibri" w:hAnsi="Calibri" w:cs="Calibri"/>
                <w:color w:val="000000"/>
                <w:sz w:val="20"/>
                <w:szCs w:val="20"/>
                <w:lang w:val="en-US" w:eastAsia="en-CA"/>
              </w:rPr>
            </w:pPr>
          </w:p>
        </w:tc>
        <w:tc>
          <w:tcPr>
            <w:tcW w:w="1559" w:type="dxa"/>
            <w:shd w:val="clear" w:color="auto" w:fill="auto"/>
            <w:noWrap/>
            <w:vAlign w:val="bottom"/>
            <w:hideMark/>
          </w:tcPr>
          <w:p w14:paraId="299E4225" w14:textId="77777777" w:rsidR="00DE1643" w:rsidRPr="0098717E" w:rsidRDefault="00DE1643" w:rsidP="00387AD9">
            <w:pPr>
              <w:rPr>
                <w:sz w:val="20"/>
                <w:szCs w:val="20"/>
                <w:lang w:val="en-US" w:eastAsia="en-CA"/>
              </w:rPr>
            </w:pPr>
          </w:p>
        </w:tc>
        <w:tc>
          <w:tcPr>
            <w:tcW w:w="1427" w:type="dxa"/>
            <w:shd w:val="clear" w:color="auto" w:fill="E7E6E6" w:themeFill="background2"/>
            <w:noWrap/>
            <w:vAlign w:val="bottom"/>
            <w:hideMark/>
          </w:tcPr>
          <w:p w14:paraId="375C42CF"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0</w:t>
            </w:r>
          </w:p>
        </w:tc>
        <w:tc>
          <w:tcPr>
            <w:tcW w:w="2117" w:type="dxa"/>
            <w:shd w:val="clear" w:color="auto" w:fill="auto"/>
            <w:noWrap/>
            <w:vAlign w:val="bottom"/>
            <w:hideMark/>
          </w:tcPr>
          <w:p w14:paraId="697BCFF8" w14:textId="77777777" w:rsidR="00DE1643" w:rsidRPr="0098717E" w:rsidRDefault="00DE1643" w:rsidP="00387AD9">
            <w:pP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Trazodone (100)</w:t>
            </w:r>
          </w:p>
        </w:tc>
        <w:tc>
          <w:tcPr>
            <w:tcW w:w="607" w:type="dxa"/>
            <w:shd w:val="clear" w:color="auto" w:fill="E7E6E6" w:themeFill="background2"/>
            <w:noWrap/>
            <w:vAlign w:val="bottom"/>
            <w:hideMark/>
          </w:tcPr>
          <w:p w14:paraId="4DE655F4"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1</w:t>
            </w:r>
          </w:p>
        </w:tc>
        <w:tc>
          <w:tcPr>
            <w:tcW w:w="1424" w:type="dxa"/>
            <w:shd w:val="clear" w:color="auto" w:fill="AEAAAA" w:themeFill="background2" w:themeFillShade="BF"/>
            <w:noWrap/>
            <w:vAlign w:val="bottom"/>
            <w:hideMark/>
          </w:tcPr>
          <w:p w14:paraId="187C4AF5"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3</w:t>
            </w:r>
          </w:p>
        </w:tc>
      </w:tr>
      <w:tr w:rsidR="00DE1643" w:rsidRPr="0098717E" w14:paraId="25D14FB5" w14:textId="77777777" w:rsidTr="00B815A9">
        <w:trPr>
          <w:trHeight w:val="292"/>
        </w:trPr>
        <w:tc>
          <w:tcPr>
            <w:tcW w:w="1190" w:type="dxa"/>
            <w:shd w:val="clear" w:color="auto" w:fill="auto"/>
            <w:noWrap/>
            <w:vAlign w:val="bottom"/>
            <w:hideMark/>
          </w:tcPr>
          <w:p w14:paraId="06FDBA38" w14:textId="77777777" w:rsidR="00DE1643" w:rsidRPr="0098717E" w:rsidRDefault="00DE1643" w:rsidP="00387AD9">
            <w:pPr>
              <w:jc w:val="right"/>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10</w:t>
            </w:r>
          </w:p>
        </w:tc>
        <w:tc>
          <w:tcPr>
            <w:tcW w:w="1924" w:type="dxa"/>
            <w:shd w:val="clear" w:color="auto" w:fill="auto"/>
            <w:noWrap/>
            <w:vAlign w:val="bottom"/>
            <w:hideMark/>
          </w:tcPr>
          <w:p w14:paraId="4EDD9BBB" w14:textId="77777777" w:rsidR="00DE1643" w:rsidRPr="0098717E" w:rsidRDefault="00DE1643" w:rsidP="00387AD9">
            <w:pP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Fluoxetine (20)</w:t>
            </w:r>
          </w:p>
        </w:tc>
        <w:tc>
          <w:tcPr>
            <w:tcW w:w="1230" w:type="dxa"/>
            <w:shd w:val="clear" w:color="auto" w:fill="E7E6E6" w:themeFill="background2"/>
            <w:noWrap/>
            <w:vAlign w:val="bottom"/>
            <w:hideMark/>
          </w:tcPr>
          <w:p w14:paraId="26AC4747"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2</w:t>
            </w:r>
          </w:p>
        </w:tc>
        <w:tc>
          <w:tcPr>
            <w:tcW w:w="1747" w:type="dxa"/>
            <w:shd w:val="clear" w:color="auto" w:fill="auto"/>
            <w:noWrap/>
            <w:vAlign w:val="bottom"/>
            <w:hideMark/>
          </w:tcPr>
          <w:p w14:paraId="3A372950" w14:textId="77777777" w:rsidR="00DE1643" w:rsidRPr="0098717E" w:rsidRDefault="00DE1643" w:rsidP="00387AD9">
            <w:pPr>
              <w:jc w:val="right"/>
              <w:rPr>
                <w:rFonts w:ascii="Calibri" w:hAnsi="Calibri" w:cs="Calibri"/>
                <w:color w:val="000000"/>
                <w:sz w:val="20"/>
                <w:szCs w:val="20"/>
                <w:lang w:val="en-US" w:eastAsia="en-CA"/>
              </w:rPr>
            </w:pPr>
          </w:p>
        </w:tc>
        <w:tc>
          <w:tcPr>
            <w:tcW w:w="1559" w:type="dxa"/>
            <w:shd w:val="clear" w:color="auto" w:fill="auto"/>
            <w:noWrap/>
            <w:vAlign w:val="bottom"/>
            <w:hideMark/>
          </w:tcPr>
          <w:p w14:paraId="7138B694" w14:textId="77777777" w:rsidR="00DE1643" w:rsidRPr="0098717E" w:rsidRDefault="00DE1643" w:rsidP="00387AD9">
            <w:pPr>
              <w:rPr>
                <w:sz w:val="20"/>
                <w:szCs w:val="20"/>
                <w:lang w:val="en-US" w:eastAsia="en-CA"/>
              </w:rPr>
            </w:pPr>
          </w:p>
        </w:tc>
        <w:tc>
          <w:tcPr>
            <w:tcW w:w="1427" w:type="dxa"/>
            <w:shd w:val="clear" w:color="auto" w:fill="E7E6E6" w:themeFill="background2"/>
            <w:noWrap/>
            <w:vAlign w:val="bottom"/>
            <w:hideMark/>
          </w:tcPr>
          <w:p w14:paraId="27C147C6"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0</w:t>
            </w:r>
          </w:p>
        </w:tc>
        <w:tc>
          <w:tcPr>
            <w:tcW w:w="2117" w:type="dxa"/>
            <w:shd w:val="clear" w:color="auto" w:fill="auto"/>
            <w:noWrap/>
            <w:vAlign w:val="bottom"/>
            <w:hideMark/>
          </w:tcPr>
          <w:p w14:paraId="3CEB4215" w14:textId="77777777" w:rsidR="00DE1643" w:rsidRPr="0098717E" w:rsidRDefault="00DE1643" w:rsidP="00387AD9">
            <w:pP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Oxazepam (1)</w:t>
            </w:r>
          </w:p>
        </w:tc>
        <w:tc>
          <w:tcPr>
            <w:tcW w:w="607" w:type="dxa"/>
            <w:shd w:val="clear" w:color="auto" w:fill="E7E6E6" w:themeFill="background2"/>
            <w:noWrap/>
            <w:vAlign w:val="bottom"/>
            <w:hideMark/>
          </w:tcPr>
          <w:p w14:paraId="28530096"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1</w:t>
            </w:r>
          </w:p>
        </w:tc>
        <w:tc>
          <w:tcPr>
            <w:tcW w:w="1424" w:type="dxa"/>
            <w:shd w:val="clear" w:color="auto" w:fill="AEAAAA" w:themeFill="background2" w:themeFillShade="BF"/>
            <w:noWrap/>
            <w:vAlign w:val="bottom"/>
            <w:hideMark/>
          </w:tcPr>
          <w:p w14:paraId="134A55FC"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3</w:t>
            </w:r>
          </w:p>
        </w:tc>
      </w:tr>
      <w:tr w:rsidR="00DE1643" w:rsidRPr="0098717E" w14:paraId="2AFE36DB" w14:textId="77777777" w:rsidTr="00B815A9">
        <w:trPr>
          <w:trHeight w:val="292"/>
        </w:trPr>
        <w:tc>
          <w:tcPr>
            <w:tcW w:w="1190" w:type="dxa"/>
            <w:shd w:val="clear" w:color="auto" w:fill="auto"/>
            <w:noWrap/>
            <w:vAlign w:val="bottom"/>
            <w:hideMark/>
          </w:tcPr>
          <w:p w14:paraId="69EB9E34" w14:textId="77777777" w:rsidR="00DE1643" w:rsidRPr="0098717E" w:rsidRDefault="00DE1643" w:rsidP="00387AD9">
            <w:pPr>
              <w:jc w:val="right"/>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11</w:t>
            </w:r>
          </w:p>
        </w:tc>
        <w:tc>
          <w:tcPr>
            <w:tcW w:w="1924" w:type="dxa"/>
            <w:shd w:val="clear" w:color="auto" w:fill="auto"/>
            <w:noWrap/>
            <w:vAlign w:val="bottom"/>
            <w:hideMark/>
          </w:tcPr>
          <w:p w14:paraId="0F212DB9" w14:textId="77777777" w:rsidR="00DE1643" w:rsidRPr="0098717E" w:rsidRDefault="00DE1643" w:rsidP="00387AD9">
            <w:pP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 xml:space="preserve">Venlafaxine (150) </w:t>
            </w:r>
          </w:p>
        </w:tc>
        <w:tc>
          <w:tcPr>
            <w:tcW w:w="1230" w:type="dxa"/>
            <w:shd w:val="clear" w:color="auto" w:fill="E7E6E6" w:themeFill="background2"/>
            <w:noWrap/>
            <w:vAlign w:val="bottom"/>
            <w:hideMark/>
          </w:tcPr>
          <w:p w14:paraId="06E3DD37"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2</w:t>
            </w:r>
          </w:p>
        </w:tc>
        <w:tc>
          <w:tcPr>
            <w:tcW w:w="1747" w:type="dxa"/>
            <w:shd w:val="clear" w:color="auto" w:fill="auto"/>
            <w:noWrap/>
            <w:vAlign w:val="bottom"/>
            <w:hideMark/>
          </w:tcPr>
          <w:p w14:paraId="6EAA33A3" w14:textId="4A76ED53" w:rsidR="00DE1643" w:rsidRPr="0098717E" w:rsidRDefault="00DE1643" w:rsidP="00387AD9">
            <w:pP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Quetiapine (</w:t>
            </w:r>
            <w:r w:rsidR="00233F1A" w:rsidRPr="0098717E">
              <w:rPr>
                <w:rFonts w:ascii="Calibri" w:hAnsi="Calibri" w:cs="Calibri"/>
                <w:color w:val="000000"/>
                <w:sz w:val="20"/>
                <w:szCs w:val="20"/>
                <w:lang w:val="en-US" w:eastAsia="en-CA"/>
              </w:rPr>
              <w:t>25</w:t>
            </w:r>
            <w:r w:rsidRPr="0098717E">
              <w:rPr>
                <w:rFonts w:ascii="Calibri" w:hAnsi="Calibri" w:cs="Calibri"/>
                <w:color w:val="000000"/>
                <w:sz w:val="20"/>
                <w:szCs w:val="20"/>
                <w:lang w:val="en-US" w:eastAsia="en-CA"/>
              </w:rPr>
              <w:t>)</w:t>
            </w:r>
          </w:p>
        </w:tc>
        <w:tc>
          <w:tcPr>
            <w:tcW w:w="1559" w:type="dxa"/>
            <w:shd w:val="clear" w:color="auto" w:fill="auto"/>
            <w:noWrap/>
            <w:vAlign w:val="bottom"/>
            <w:hideMark/>
          </w:tcPr>
          <w:p w14:paraId="128BD7F3" w14:textId="77777777" w:rsidR="00DE1643" w:rsidRPr="0098717E" w:rsidRDefault="00DE1643" w:rsidP="00387AD9">
            <w:pPr>
              <w:jc w:val="right"/>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25</w:t>
            </w:r>
          </w:p>
        </w:tc>
        <w:tc>
          <w:tcPr>
            <w:tcW w:w="1427" w:type="dxa"/>
            <w:shd w:val="clear" w:color="auto" w:fill="E7E6E6" w:themeFill="background2"/>
            <w:noWrap/>
            <w:vAlign w:val="bottom"/>
            <w:hideMark/>
          </w:tcPr>
          <w:p w14:paraId="19E82FC4"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1</w:t>
            </w:r>
          </w:p>
        </w:tc>
        <w:tc>
          <w:tcPr>
            <w:tcW w:w="2117" w:type="dxa"/>
            <w:shd w:val="clear" w:color="auto" w:fill="auto"/>
            <w:noWrap/>
            <w:vAlign w:val="bottom"/>
            <w:hideMark/>
          </w:tcPr>
          <w:p w14:paraId="7B7D254D" w14:textId="77777777" w:rsidR="00DE1643" w:rsidRPr="0098717E" w:rsidRDefault="00DE1643" w:rsidP="00387AD9">
            <w:pP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Oxazepam (1)</w:t>
            </w:r>
          </w:p>
        </w:tc>
        <w:tc>
          <w:tcPr>
            <w:tcW w:w="607" w:type="dxa"/>
            <w:shd w:val="clear" w:color="auto" w:fill="E7E6E6" w:themeFill="background2"/>
            <w:noWrap/>
            <w:vAlign w:val="bottom"/>
            <w:hideMark/>
          </w:tcPr>
          <w:p w14:paraId="0B0CF688"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1</w:t>
            </w:r>
          </w:p>
        </w:tc>
        <w:tc>
          <w:tcPr>
            <w:tcW w:w="1424" w:type="dxa"/>
            <w:shd w:val="clear" w:color="auto" w:fill="AEAAAA" w:themeFill="background2" w:themeFillShade="BF"/>
            <w:noWrap/>
            <w:vAlign w:val="bottom"/>
            <w:hideMark/>
          </w:tcPr>
          <w:p w14:paraId="0B5A871E"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4</w:t>
            </w:r>
          </w:p>
        </w:tc>
      </w:tr>
      <w:tr w:rsidR="00DE1643" w:rsidRPr="0098717E" w14:paraId="22F0518D" w14:textId="77777777" w:rsidTr="00B815A9">
        <w:trPr>
          <w:trHeight w:val="292"/>
        </w:trPr>
        <w:tc>
          <w:tcPr>
            <w:tcW w:w="1190" w:type="dxa"/>
            <w:shd w:val="clear" w:color="auto" w:fill="auto"/>
            <w:noWrap/>
            <w:vAlign w:val="bottom"/>
            <w:hideMark/>
          </w:tcPr>
          <w:p w14:paraId="758B48CC" w14:textId="77777777" w:rsidR="00DE1643" w:rsidRPr="0098717E" w:rsidRDefault="00DE1643" w:rsidP="00387AD9">
            <w:pPr>
              <w:jc w:val="right"/>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12</w:t>
            </w:r>
          </w:p>
        </w:tc>
        <w:tc>
          <w:tcPr>
            <w:tcW w:w="1924" w:type="dxa"/>
            <w:shd w:val="clear" w:color="auto" w:fill="auto"/>
            <w:noWrap/>
            <w:vAlign w:val="bottom"/>
            <w:hideMark/>
          </w:tcPr>
          <w:p w14:paraId="7B74A0C2" w14:textId="77777777" w:rsidR="00DE1643" w:rsidRPr="0098717E" w:rsidRDefault="00DE1643" w:rsidP="00387AD9">
            <w:pP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Fluoxetine (20)</w:t>
            </w:r>
          </w:p>
        </w:tc>
        <w:tc>
          <w:tcPr>
            <w:tcW w:w="1230" w:type="dxa"/>
            <w:shd w:val="clear" w:color="auto" w:fill="E7E6E6" w:themeFill="background2"/>
            <w:noWrap/>
            <w:vAlign w:val="bottom"/>
            <w:hideMark/>
          </w:tcPr>
          <w:p w14:paraId="44482CFC"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2</w:t>
            </w:r>
          </w:p>
        </w:tc>
        <w:tc>
          <w:tcPr>
            <w:tcW w:w="1747" w:type="dxa"/>
            <w:shd w:val="clear" w:color="auto" w:fill="auto"/>
            <w:noWrap/>
            <w:vAlign w:val="bottom"/>
            <w:hideMark/>
          </w:tcPr>
          <w:p w14:paraId="1FF298CA" w14:textId="26D6C8D9" w:rsidR="00DE1643" w:rsidRPr="0098717E" w:rsidRDefault="00DE1643" w:rsidP="00387AD9">
            <w:pP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Quetiapine (</w:t>
            </w:r>
            <w:r w:rsidR="00233F1A" w:rsidRPr="0098717E">
              <w:rPr>
                <w:rFonts w:ascii="Calibri" w:hAnsi="Calibri" w:cs="Calibri"/>
                <w:color w:val="000000"/>
                <w:sz w:val="20"/>
                <w:szCs w:val="20"/>
                <w:lang w:val="en-US" w:eastAsia="en-CA"/>
              </w:rPr>
              <w:t>25</w:t>
            </w:r>
            <w:r w:rsidRPr="0098717E">
              <w:rPr>
                <w:rFonts w:ascii="Calibri" w:hAnsi="Calibri" w:cs="Calibri"/>
                <w:color w:val="000000"/>
                <w:sz w:val="20"/>
                <w:szCs w:val="20"/>
                <w:lang w:val="en-US" w:eastAsia="en-CA"/>
              </w:rPr>
              <w:t xml:space="preserve">) </w:t>
            </w:r>
          </w:p>
        </w:tc>
        <w:tc>
          <w:tcPr>
            <w:tcW w:w="1559" w:type="dxa"/>
            <w:shd w:val="clear" w:color="auto" w:fill="auto"/>
            <w:noWrap/>
            <w:vAlign w:val="bottom"/>
            <w:hideMark/>
          </w:tcPr>
          <w:p w14:paraId="38DC3DAC" w14:textId="77777777" w:rsidR="00DE1643" w:rsidRPr="0098717E" w:rsidRDefault="00DE1643" w:rsidP="00387AD9">
            <w:pPr>
              <w:jc w:val="right"/>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25</w:t>
            </w:r>
          </w:p>
        </w:tc>
        <w:tc>
          <w:tcPr>
            <w:tcW w:w="1427" w:type="dxa"/>
            <w:shd w:val="clear" w:color="auto" w:fill="E7E6E6" w:themeFill="background2"/>
            <w:noWrap/>
            <w:vAlign w:val="bottom"/>
            <w:hideMark/>
          </w:tcPr>
          <w:p w14:paraId="7436C37A"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1</w:t>
            </w:r>
          </w:p>
        </w:tc>
        <w:tc>
          <w:tcPr>
            <w:tcW w:w="2117" w:type="dxa"/>
            <w:shd w:val="clear" w:color="auto" w:fill="auto"/>
            <w:noWrap/>
            <w:vAlign w:val="bottom"/>
            <w:hideMark/>
          </w:tcPr>
          <w:p w14:paraId="73F610E9" w14:textId="77777777" w:rsidR="00DE1643" w:rsidRPr="0098717E" w:rsidRDefault="00DE1643" w:rsidP="00387AD9">
            <w:pP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Oxazepam (1)</w:t>
            </w:r>
          </w:p>
        </w:tc>
        <w:tc>
          <w:tcPr>
            <w:tcW w:w="607" w:type="dxa"/>
            <w:shd w:val="clear" w:color="auto" w:fill="E7E6E6" w:themeFill="background2"/>
            <w:noWrap/>
            <w:vAlign w:val="bottom"/>
            <w:hideMark/>
          </w:tcPr>
          <w:p w14:paraId="41F3A292"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1</w:t>
            </w:r>
          </w:p>
        </w:tc>
        <w:tc>
          <w:tcPr>
            <w:tcW w:w="1424" w:type="dxa"/>
            <w:shd w:val="clear" w:color="auto" w:fill="AEAAAA" w:themeFill="background2" w:themeFillShade="BF"/>
            <w:noWrap/>
            <w:vAlign w:val="bottom"/>
            <w:hideMark/>
          </w:tcPr>
          <w:p w14:paraId="3AB0927B"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4</w:t>
            </w:r>
          </w:p>
        </w:tc>
      </w:tr>
      <w:tr w:rsidR="00DE1643" w:rsidRPr="0098717E" w14:paraId="1B7ED0B8" w14:textId="77777777" w:rsidTr="00B815A9">
        <w:trPr>
          <w:trHeight w:val="292"/>
        </w:trPr>
        <w:tc>
          <w:tcPr>
            <w:tcW w:w="1190" w:type="dxa"/>
            <w:shd w:val="clear" w:color="auto" w:fill="auto"/>
            <w:noWrap/>
            <w:vAlign w:val="bottom"/>
            <w:hideMark/>
          </w:tcPr>
          <w:p w14:paraId="78755208" w14:textId="77777777" w:rsidR="00DE1643" w:rsidRPr="0098717E" w:rsidRDefault="00DE1643" w:rsidP="00387AD9">
            <w:pPr>
              <w:jc w:val="right"/>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13</w:t>
            </w:r>
          </w:p>
        </w:tc>
        <w:tc>
          <w:tcPr>
            <w:tcW w:w="1924" w:type="dxa"/>
            <w:shd w:val="clear" w:color="auto" w:fill="auto"/>
            <w:noWrap/>
            <w:vAlign w:val="bottom"/>
            <w:hideMark/>
          </w:tcPr>
          <w:p w14:paraId="47D8E582" w14:textId="77777777" w:rsidR="00DE1643" w:rsidRPr="0098717E" w:rsidRDefault="00DE1643" w:rsidP="00387AD9">
            <w:pP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 xml:space="preserve">Fluoxetine (20) </w:t>
            </w:r>
          </w:p>
        </w:tc>
        <w:tc>
          <w:tcPr>
            <w:tcW w:w="1230" w:type="dxa"/>
            <w:shd w:val="clear" w:color="auto" w:fill="E7E6E6" w:themeFill="background2"/>
            <w:noWrap/>
            <w:vAlign w:val="bottom"/>
            <w:hideMark/>
          </w:tcPr>
          <w:p w14:paraId="66E97594"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2</w:t>
            </w:r>
          </w:p>
        </w:tc>
        <w:tc>
          <w:tcPr>
            <w:tcW w:w="1747" w:type="dxa"/>
            <w:shd w:val="clear" w:color="auto" w:fill="auto"/>
            <w:noWrap/>
            <w:vAlign w:val="bottom"/>
            <w:hideMark/>
          </w:tcPr>
          <w:p w14:paraId="2550A84D" w14:textId="3FB7585B" w:rsidR="00DE1643" w:rsidRPr="0098717E" w:rsidRDefault="00DE1643" w:rsidP="00387AD9">
            <w:pP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Quetiapine (</w:t>
            </w:r>
            <w:r w:rsidR="00233F1A" w:rsidRPr="0098717E">
              <w:rPr>
                <w:rFonts w:ascii="Calibri" w:hAnsi="Calibri" w:cs="Calibri"/>
                <w:color w:val="000000"/>
                <w:sz w:val="20"/>
                <w:szCs w:val="20"/>
                <w:lang w:val="en-US" w:eastAsia="en-CA"/>
              </w:rPr>
              <w:t>50</w:t>
            </w:r>
            <w:r w:rsidRPr="0098717E">
              <w:rPr>
                <w:rFonts w:ascii="Calibri" w:hAnsi="Calibri" w:cs="Calibri"/>
                <w:color w:val="000000"/>
                <w:sz w:val="20"/>
                <w:szCs w:val="20"/>
                <w:lang w:val="en-US" w:eastAsia="en-CA"/>
              </w:rPr>
              <w:t>)</w:t>
            </w:r>
          </w:p>
        </w:tc>
        <w:tc>
          <w:tcPr>
            <w:tcW w:w="1559" w:type="dxa"/>
            <w:shd w:val="clear" w:color="auto" w:fill="auto"/>
            <w:noWrap/>
            <w:vAlign w:val="bottom"/>
            <w:hideMark/>
          </w:tcPr>
          <w:p w14:paraId="22555D47" w14:textId="77777777" w:rsidR="00DE1643" w:rsidRPr="0098717E" w:rsidRDefault="00DE1643" w:rsidP="00387AD9">
            <w:pPr>
              <w:jc w:val="right"/>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50</w:t>
            </w:r>
          </w:p>
        </w:tc>
        <w:tc>
          <w:tcPr>
            <w:tcW w:w="1427" w:type="dxa"/>
            <w:shd w:val="clear" w:color="auto" w:fill="E7E6E6" w:themeFill="background2"/>
            <w:noWrap/>
            <w:vAlign w:val="bottom"/>
            <w:hideMark/>
          </w:tcPr>
          <w:p w14:paraId="3FE83553"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2</w:t>
            </w:r>
          </w:p>
        </w:tc>
        <w:tc>
          <w:tcPr>
            <w:tcW w:w="2117" w:type="dxa"/>
            <w:shd w:val="clear" w:color="auto" w:fill="auto"/>
            <w:noWrap/>
            <w:vAlign w:val="bottom"/>
            <w:hideMark/>
          </w:tcPr>
          <w:p w14:paraId="4A528466" w14:textId="77777777" w:rsidR="00DE1643" w:rsidRPr="0098717E" w:rsidRDefault="00DE1643" w:rsidP="00387AD9">
            <w:pPr>
              <w:jc w:val="right"/>
              <w:rPr>
                <w:rFonts w:ascii="Calibri" w:hAnsi="Calibri" w:cs="Calibri"/>
                <w:color w:val="000000"/>
                <w:sz w:val="20"/>
                <w:szCs w:val="20"/>
                <w:lang w:val="en-US" w:eastAsia="en-CA"/>
              </w:rPr>
            </w:pPr>
          </w:p>
        </w:tc>
        <w:tc>
          <w:tcPr>
            <w:tcW w:w="607" w:type="dxa"/>
            <w:shd w:val="clear" w:color="auto" w:fill="E7E6E6" w:themeFill="background2"/>
            <w:noWrap/>
            <w:vAlign w:val="bottom"/>
            <w:hideMark/>
          </w:tcPr>
          <w:p w14:paraId="5AAE0F53"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0</w:t>
            </w:r>
          </w:p>
        </w:tc>
        <w:tc>
          <w:tcPr>
            <w:tcW w:w="1424" w:type="dxa"/>
            <w:shd w:val="clear" w:color="auto" w:fill="AEAAAA" w:themeFill="background2" w:themeFillShade="BF"/>
            <w:noWrap/>
            <w:vAlign w:val="bottom"/>
            <w:hideMark/>
          </w:tcPr>
          <w:p w14:paraId="628ECDEC"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4</w:t>
            </w:r>
          </w:p>
        </w:tc>
      </w:tr>
      <w:tr w:rsidR="00DE1643" w:rsidRPr="0098717E" w14:paraId="06EF2B81" w14:textId="77777777" w:rsidTr="00B815A9">
        <w:trPr>
          <w:trHeight w:val="292"/>
        </w:trPr>
        <w:tc>
          <w:tcPr>
            <w:tcW w:w="1190" w:type="dxa"/>
            <w:shd w:val="clear" w:color="auto" w:fill="auto"/>
            <w:noWrap/>
            <w:vAlign w:val="bottom"/>
            <w:hideMark/>
          </w:tcPr>
          <w:p w14:paraId="6B19F197" w14:textId="77777777" w:rsidR="00DE1643" w:rsidRPr="0098717E" w:rsidRDefault="00DE1643" w:rsidP="00387AD9">
            <w:pPr>
              <w:jc w:val="right"/>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14</w:t>
            </w:r>
          </w:p>
        </w:tc>
        <w:tc>
          <w:tcPr>
            <w:tcW w:w="1924" w:type="dxa"/>
            <w:shd w:val="clear" w:color="auto" w:fill="auto"/>
            <w:noWrap/>
            <w:vAlign w:val="bottom"/>
            <w:hideMark/>
          </w:tcPr>
          <w:p w14:paraId="5D562A63" w14:textId="77777777" w:rsidR="00DE1643" w:rsidRPr="0098717E" w:rsidRDefault="00DE1643" w:rsidP="00387AD9">
            <w:pP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Fluoxetine (40)</w:t>
            </w:r>
          </w:p>
        </w:tc>
        <w:tc>
          <w:tcPr>
            <w:tcW w:w="1230" w:type="dxa"/>
            <w:shd w:val="clear" w:color="auto" w:fill="E7E6E6" w:themeFill="background2"/>
            <w:noWrap/>
            <w:vAlign w:val="bottom"/>
            <w:hideMark/>
          </w:tcPr>
          <w:p w14:paraId="4DA4ED9B"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2</w:t>
            </w:r>
          </w:p>
        </w:tc>
        <w:tc>
          <w:tcPr>
            <w:tcW w:w="1747" w:type="dxa"/>
            <w:shd w:val="clear" w:color="auto" w:fill="auto"/>
            <w:noWrap/>
            <w:vAlign w:val="bottom"/>
            <w:hideMark/>
          </w:tcPr>
          <w:p w14:paraId="4B3C44C0" w14:textId="77777777" w:rsidR="00DE1643" w:rsidRPr="0098717E" w:rsidRDefault="00DE1643" w:rsidP="00387AD9">
            <w:pP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Olanzapine (5)</w:t>
            </w:r>
          </w:p>
        </w:tc>
        <w:tc>
          <w:tcPr>
            <w:tcW w:w="1559" w:type="dxa"/>
            <w:shd w:val="clear" w:color="auto" w:fill="auto"/>
            <w:noWrap/>
            <w:vAlign w:val="bottom"/>
            <w:hideMark/>
          </w:tcPr>
          <w:p w14:paraId="622653BD" w14:textId="71EF2EC0" w:rsidR="00DE1643" w:rsidRPr="0098717E" w:rsidRDefault="00DE1643" w:rsidP="00387AD9">
            <w:pPr>
              <w:jc w:val="right"/>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10</w:t>
            </w:r>
            <w:r w:rsidR="00233F1A" w:rsidRPr="0098717E">
              <w:rPr>
                <w:rFonts w:ascii="Calibri" w:hAnsi="Calibri" w:cs="Calibri"/>
                <w:color w:val="000000"/>
                <w:sz w:val="20"/>
                <w:szCs w:val="20"/>
                <w:lang w:val="en-US" w:eastAsia="en-CA"/>
              </w:rPr>
              <w:t>0</w:t>
            </w:r>
          </w:p>
        </w:tc>
        <w:tc>
          <w:tcPr>
            <w:tcW w:w="1427" w:type="dxa"/>
            <w:shd w:val="clear" w:color="auto" w:fill="E7E6E6" w:themeFill="background2"/>
            <w:noWrap/>
            <w:vAlign w:val="bottom"/>
            <w:hideMark/>
          </w:tcPr>
          <w:p w14:paraId="73675944"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2</w:t>
            </w:r>
          </w:p>
        </w:tc>
        <w:tc>
          <w:tcPr>
            <w:tcW w:w="2117" w:type="dxa"/>
            <w:shd w:val="clear" w:color="auto" w:fill="auto"/>
            <w:noWrap/>
            <w:vAlign w:val="bottom"/>
            <w:hideMark/>
          </w:tcPr>
          <w:p w14:paraId="5ED87D36" w14:textId="77777777" w:rsidR="00DE1643" w:rsidRPr="0098717E" w:rsidRDefault="00DE1643" w:rsidP="00387AD9">
            <w:pP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Methylphenidate (40)</w:t>
            </w:r>
          </w:p>
        </w:tc>
        <w:tc>
          <w:tcPr>
            <w:tcW w:w="607" w:type="dxa"/>
            <w:shd w:val="clear" w:color="auto" w:fill="E7E6E6" w:themeFill="background2"/>
            <w:noWrap/>
            <w:vAlign w:val="bottom"/>
            <w:hideMark/>
          </w:tcPr>
          <w:p w14:paraId="32487608"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1</w:t>
            </w:r>
          </w:p>
        </w:tc>
        <w:tc>
          <w:tcPr>
            <w:tcW w:w="1424" w:type="dxa"/>
            <w:shd w:val="clear" w:color="auto" w:fill="AEAAAA" w:themeFill="background2" w:themeFillShade="BF"/>
            <w:noWrap/>
            <w:vAlign w:val="bottom"/>
            <w:hideMark/>
          </w:tcPr>
          <w:p w14:paraId="20E4DC96"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5</w:t>
            </w:r>
          </w:p>
        </w:tc>
      </w:tr>
      <w:tr w:rsidR="00DE1643" w:rsidRPr="0098717E" w14:paraId="328AB4FE" w14:textId="77777777" w:rsidTr="00B815A9">
        <w:trPr>
          <w:trHeight w:val="292"/>
        </w:trPr>
        <w:tc>
          <w:tcPr>
            <w:tcW w:w="1190" w:type="dxa"/>
            <w:shd w:val="clear" w:color="auto" w:fill="auto"/>
            <w:noWrap/>
            <w:vAlign w:val="bottom"/>
            <w:hideMark/>
          </w:tcPr>
          <w:p w14:paraId="2064B281" w14:textId="77777777" w:rsidR="00DE1643" w:rsidRPr="0098717E" w:rsidRDefault="00DE1643" w:rsidP="00387AD9">
            <w:pPr>
              <w:jc w:val="right"/>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15</w:t>
            </w:r>
          </w:p>
        </w:tc>
        <w:tc>
          <w:tcPr>
            <w:tcW w:w="1924" w:type="dxa"/>
            <w:shd w:val="clear" w:color="auto" w:fill="auto"/>
            <w:noWrap/>
            <w:vAlign w:val="bottom"/>
            <w:hideMark/>
          </w:tcPr>
          <w:p w14:paraId="5220D302" w14:textId="77777777" w:rsidR="00DE1643" w:rsidRPr="0098717E" w:rsidRDefault="00DE1643" w:rsidP="00387AD9">
            <w:pP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Fluoxetine (40)</w:t>
            </w:r>
          </w:p>
        </w:tc>
        <w:tc>
          <w:tcPr>
            <w:tcW w:w="1230" w:type="dxa"/>
            <w:shd w:val="clear" w:color="auto" w:fill="E7E6E6" w:themeFill="background2"/>
            <w:noWrap/>
            <w:vAlign w:val="bottom"/>
            <w:hideMark/>
          </w:tcPr>
          <w:p w14:paraId="504BCCE4"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2</w:t>
            </w:r>
          </w:p>
        </w:tc>
        <w:tc>
          <w:tcPr>
            <w:tcW w:w="1747" w:type="dxa"/>
            <w:shd w:val="clear" w:color="auto" w:fill="auto"/>
            <w:noWrap/>
            <w:vAlign w:val="bottom"/>
            <w:hideMark/>
          </w:tcPr>
          <w:p w14:paraId="07002684" w14:textId="6D46C9C2" w:rsidR="00DE1643" w:rsidRPr="0098717E" w:rsidRDefault="00DE1643" w:rsidP="00387AD9">
            <w:pP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Quetiapine (</w:t>
            </w:r>
            <w:r w:rsidR="00233F1A" w:rsidRPr="0098717E">
              <w:rPr>
                <w:rFonts w:ascii="Calibri" w:hAnsi="Calibri" w:cs="Calibri"/>
                <w:color w:val="000000"/>
                <w:sz w:val="20"/>
                <w:szCs w:val="20"/>
                <w:lang w:val="en-US" w:eastAsia="en-CA"/>
              </w:rPr>
              <w:t>20</w:t>
            </w:r>
            <w:r w:rsidRPr="0098717E">
              <w:rPr>
                <w:rFonts w:ascii="Calibri" w:hAnsi="Calibri" w:cs="Calibri"/>
                <w:color w:val="000000"/>
                <w:sz w:val="20"/>
                <w:szCs w:val="20"/>
                <w:lang w:val="en-US" w:eastAsia="en-CA"/>
              </w:rPr>
              <w:t xml:space="preserve">0) </w:t>
            </w:r>
          </w:p>
        </w:tc>
        <w:tc>
          <w:tcPr>
            <w:tcW w:w="1559" w:type="dxa"/>
            <w:shd w:val="clear" w:color="auto" w:fill="auto"/>
            <w:noWrap/>
            <w:vAlign w:val="bottom"/>
            <w:hideMark/>
          </w:tcPr>
          <w:p w14:paraId="2BD247B5" w14:textId="77777777" w:rsidR="00DE1643" w:rsidRPr="0098717E" w:rsidRDefault="00DE1643" w:rsidP="00387AD9">
            <w:pPr>
              <w:jc w:val="right"/>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200</w:t>
            </w:r>
          </w:p>
        </w:tc>
        <w:tc>
          <w:tcPr>
            <w:tcW w:w="1427" w:type="dxa"/>
            <w:shd w:val="clear" w:color="auto" w:fill="E7E6E6" w:themeFill="background2"/>
            <w:noWrap/>
            <w:vAlign w:val="bottom"/>
            <w:hideMark/>
          </w:tcPr>
          <w:p w14:paraId="3D15B59C"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2</w:t>
            </w:r>
          </w:p>
        </w:tc>
        <w:tc>
          <w:tcPr>
            <w:tcW w:w="2117" w:type="dxa"/>
            <w:shd w:val="clear" w:color="auto" w:fill="auto"/>
            <w:noWrap/>
            <w:vAlign w:val="bottom"/>
            <w:hideMark/>
          </w:tcPr>
          <w:p w14:paraId="04E4E6C2" w14:textId="77777777" w:rsidR="00DE1643" w:rsidRPr="0098717E" w:rsidRDefault="00DE1643" w:rsidP="00387AD9">
            <w:pPr>
              <w:rPr>
                <w:rFonts w:ascii="Calibri" w:hAnsi="Calibri" w:cs="Calibri"/>
                <w:color w:val="000000"/>
                <w:sz w:val="20"/>
                <w:szCs w:val="20"/>
                <w:lang w:val="en-US" w:eastAsia="en-CA"/>
              </w:rPr>
            </w:pPr>
            <w:r w:rsidRPr="0098717E">
              <w:rPr>
                <w:rFonts w:ascii="Calibri" w:hAnsi="Calibri" w:cs="Calibri"/>
                <w:color w:val="000000"/>
                <w:sz w:val="20"/>
                <w:szCs w:val="20"/>
                <w:lang w:val="en-US" w:eastAsia="en-CA"/>
              </w:rPr>
              <w:t>Mirtazapine (7.5)</w:t>
            </w:r>
          </w:p>
        </w:tc>
        <w:tc>
          <w:tcPr>
            <w:tcW w:w="607" w:type="dxa"/>
            <w:shd w:val="clear" w:color="auto" w:fill="E7E6E6" w:themeFill="background2"/>
            <w:noWrap/>
            <w:vAlign w:val="bottom"/>
            <w:hideMark/>
          </w:tcPr>
          <w:p w14:paraId="5C756615"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1</w:t>
            </w:r>
          </w:p>
        </w:tc>
        <w:tc>
          <w:tcPr>
            <w:tcW w:w="1424" w:type="dxa"/>
            <w:shd w:val="clear" w:color="auto" w:fill="AEAAAA" w:themeFill="background2" w:themeFillShade="BF"/>
            <w:noWrap/>
            <w:vAlign w:val="bottom"/>
            <w:hideMark/>
          </w:tcPr>
          <w:p w14:paraId="1EDA2A05" w14:textId="77777777" w:rsidR="00DE1643" w:rsidRPr="0098717E" w:rsidRDefault="00DE1643" w:rsidP="00387AD9">
            <w:pPr>
              <w:jc w:val="right"/>
              <w:rPr>
                <w:rFonts w:ascii="Calibri" w:hAnsi="Calibri" w:cs="Calibri"/>
                <w:b/>
                <w:bCs/>
                <w:color w:val="000000"/>
                <w:sz w:val="20"/>
                <w:szCs w:val="20"/>
                <w:lang w:val="en-US" w:eastAsia="en-CA"/>
              </w:rPr>
            </w:pPr>
            <w:r w:rsidRPr="0098717E">
              <w:rPr>
                <w:rFonts w:ascii="Calibri" w:hAnsi="Calibri" w:cs="Calibri"/>
                <w:b/>
                <w:bCs/>
                <w:color w:val="000000"/>
                <w:sz w:val="20"/>
                <w:szCs w:val="20"/>
                <w:lang w:val="en-US" w:eastAsia="en-CA"/>
              </w:rPr>
              <w:t>5</w:t>
            </w:r>
          </w:p>
        </w:tc>
      </w:tr>
    </w:tbl>
    <w:p w14:paraId="0E4E5070" w14:textId="77777777" w:rsidR="008F25A1" w:rsidRPr="0098717E" w:rsidRDefault="008F25A1">
      <w:pPr>
        <w:spacing w:after="160" w:line="259" w:lineRule="auto"/>
        <w:rPr>
          <w:rFonts w:ascii="Calibri" w:hAnsi="Calibri" w:cs="Calibri"/>
          <w:lang w:val="en-US"/>
        </w:rPr>
        <w:sectPr w:rsidR="008F25A1" w:rsidRPr="0098717E" w:rsidSect="008F25A1">
          <w:pgSz w:w="16838" w:h="11906" w:orient="landscape"/>
          <w:pgMar w:top="720" w:right="720" w:bottom="720" w:left="720" w:header="709" w:footer="709" w:gutter="0"/>
          <w:cols w:space="708"/>
          <w:docGrid w:linePitch="360"/>
        </w:sectPr>
      </w:pPr>
    </w:p>
    <w:p w14:paraId="498A3D9B" w14:textId="6E5819EA" w:rsidR="004C79FB" w:rsidRPr="0098717E" w:rsidRDefault="004C79FB" w:rsidP="004633F2">
      <w:pPr>
        <w:rPr>
          <w:rFonts w:ascii="Arial" w:hAnsi="Arial" w:cs="Arial"/>
          <w:i/>
          <w:sz w:val="18"/>
          <w:szCs w:val="18"/>
          <w:lang w:val="en-US"/>
        </w:rPr>
      </w:pPr>
    </w:p>
    <w:p w14:paraId="576A4D2E" w14:textId="77777777" w:rsidR="004633F2" w:rsidRPr="0098717E" w:rsidRDefault="004633F2" w:rsidP="004633F2">
      <w:pPr>
        <w:rPr>
          <w:rFonts w:ascii="Arial" w:hAnsi="Arial" w:cs="Arial"/>
          <w:i/>
          <w:sz w:val="18"/>
          <w:szCs w:val="18"/>
          <w:lang w:val="en-US"/>
        </w:rPr>
      </w:pPr>
    </w:p>
    <w:p w14:paraId="1B287E8B" w14:textId="77777777" w:rsidR="000144AD" w:rsidRDefault="004633F2" w:rsidP="004633F2">
      <w:pPr>
        <w:rPr>
          <w:rFonts w:ascii="Arial" w:hAnsi="Arial" w:cs="Arial"/>
          <w:i/>
          <w:sz w:val="18"/>
          <w:szCs w:val="18"/>
          <w:lang w:val="en-US"/>
        </w:rPr>
      </w:pPr>
      <w:r w:rsidRPr="0098717E">
        <w:rPr>
          <w:rFonts w:ascii="Arial" w:hAnsi="Arial" w:cs="Arial"/>
          <w:b/>
          <w:sz w:val="18"/>
          <w:szCs w:val="18"/>
          <w:lang w:val="en-US"/>
        </w:rPr>
        <w:t>Acknowledgements:</w:t>
      </w:r>
      <w:r w:rsidRPr="0098717E">
        <w:rPr>
          <w:rFonts w:ascii="Arial" w:hAnsi="Arial" w:cs="Arial"/>
          <w:i/>
          <w:sz w:val="18"/>
          <w:szCs w:val="18"/>
          <w:lang w:val="en-US"/>
        </w:rPr>
        <w:t xml:space="preserve"> </w:t>
      </w:r>
    </w:p>
    <w:p w14:paraId="5AB42C91" w14:textId="21537E7E" w:rsidR="000144AD" w:rsidRPr="000144AD" w:rsidRDefault="000144AD" w:rsidP="004633F2">
      <w:pPr>
        <w:rPr>
          <w:rFonts w:ascii="Arial" w:hAnsi="Arial" w:cs="Arial"/>
          <w:sz w:val="18"/>
          <w:szCs w:val="18"/>
          <w:lang w:val="en-US"/>
        </w:rPr>
      </w:pPr>
      <w:r w:rsidRPr="000144AD">
        <w:rPr>
          <w:rFonts w:ascii="Arial" w:hAnsi="Arial" w:cs="Arial"/>
          <w:sz w:val="18"/>
          <w:szCs w:val="18"/>
          <w:lang w:val="en-US"/>
        </w:rPr>
        <w:t>This work was supported by the National Center of Competence in Research (NCCR) Affective Sciences financed by the Swiss National Science Foundation (grant number: 51NF40-104897)</w:t>
      </w:r>
    </w:p>
    <w:p w14:paraId="2548E29B" w14:textId="77777777" w:rsidR="000144AD" w:rsidRDefault="000144AD" w:rsidP="00CE114E">
      <w:pPr>
        <w:rPr>
          <w:rFonts w:ascii="Arial" w:hAnsi="Arial" w:cs="Arial"/>
          <w:b/>
          <w:sz w:val="18"/>
          <w:szCs w:val="18"/>
          <w:lang w:val="en-US"/>
        </w:rPr>
      </w:pPr>
    </w:p>
    <w:p w14:paraId="7B2328BB" w14:textId="61195E70" w:rsidR="00CE114E" w:rsidRPr="0098717E" w:rsidRDefault="00CE114E" w:rsidP="00CE114E">
      <w:pPr>
        <w:rPr>
          <w:rFonts w:ascii="Arial" w:hAnsi="Arial" w:cs="Arial"/>
          <w:sz w:val="18"/>
          <w:szCs w:val="18"/>
          <w:lang w:val="en-US"/>
        </w:rPr>
      </w:pPr>
      <w:r w:rsidRPr="0098717E">
        <w:rPr>
          <w:rFonts w:ascii="Arial" w:hAnsi="Arial" w:cs="Arial"/>
          <w:b/>
          <w:sz w:val="18"/>
          <w:szCs w:val="18"/>
          <w:lang w:val="en-US"/>
        </w:rPr>
        <w:t xml:space="preserve">Declaration of interests: </w:t>
      </w:r>
    </w:p>
    <w:p w14:paraId="0EDE8DD7" w14:textId="3C73804C" w:rsidR="00CE114E" w:rsidRPr="0098717E" w:rsidRDefault="00CE114E" w:rsidP="00CE114E">
      <w:pPr>
        <w:rPr>
          <w:rFonts w:ascii="Arial" w:hAnsi="Arial" w:cs="Arial"/>
          <w:sz w:val="18"/>
          <w:szCs w:val="18"/>
          <w:lang w:val="en-US"/>
        </w:rPr>
      </w:pPr>
      <w:r w:rsidRPr="0098717E">
        <w:rPr>
          <w:rFonts w:ascii="Arial" w:hAnsi="Arial" w:cs="Arial"/>
          <w:sz w:val="18"/>
          <w:szCs w:val="18"/>
          <w:lang w:val="en-US"/>
        </w:rPr>
        <w:t>The authors declare that they have no known competing financial interests or personal relationships that could have appeared to influence the work reported in this paper.</w:t>
      </w:r>
    </w:p>
    <w:p w14:paraId="55DF60FF" w14:textId="637A6074" w:rsidR="00CE114E" w:rsidRPr="0098717E" w:rsidRDefault="00CE114E" w:rsidP="004633F2">
      <w:pPr>
        <w:rPr>
          <w:rFonts w:ascii="Arial" w:hAnsi="Arial" w:cs="Arial"/>
          <w:b/>
          <w:sz w:val="18"/>
          <w:szCs w:val="18"/>
          <w:lang w:val="en-US"/>
        </w:rPr>
      </w:pPr>
    </w:p>
    <w:p w14:paraId="0B4D9BF5" w14:textId="77777777" w:rsidR="004633F2" w:rsidRPr="0098717E" w:rsidRDefault="004633F2" w:rsidP="004633F2">
      <w:pPr>
        <w:rPr>
          <w:rFonts w:ascii="Arial" w:hAnsi="Arial" w:cs="Arial"/>
          <w:sz w:val="18"/>
          <w:szCs w:val="18"/>
          <w:lang w:val="en-US"/>
        </w:rPr>
      </w:pPr>
    </w:p>
    <w:p w14:paraId="3B64AFE4" w14:textId="77777777" w:rsidR="004633F2" w:rsidRPr="0098717E" w:rsidRDefault="004633F2" w:rsidP="004633F2">
      <w:pPr>
        <w:rPr>
          <w:rFonts w:ascii="Arial" w:hAnsi="Arial" w:cs="Arial"/>
          <w:i/>
          <w:sz w:val="18"/>
          <w:szCs w:val="18"/>
          <w:lang w:val="en-US"/>
        </w:rPr>
      </w:pPr>
      <w:r w:rsidRPr="0098717E">
        <w:rPr>
          <w:rFonts w:ascii="Arial" w:hAnsi="Arial" w:cs="Arial"/>
          <w:b/>
          <w:sz w:val="18"/>
          <w:szCs w:val="18"/>
          <w:lang w:val="en-US"/>
        </w:rPr>
        <w:t xml:space="preserve">*References: </w:t>
      </w:r>
    </w:p>
    <w:p w14:paraId="20BC85E9" w14:textId="77777777" w:rsidR="00CC5818" w:rsidRPr="0098717E" w:rsidRDefault="004C79FB" w:rsidP="00CC5818">
      <w:pPr>
        <w:widowControl w:val="0"/>
        <w:autoSpaceDE w:val="0"/>
        <w:autoSpaceDN w:val="0"/>
        <w:adjustRightInd w:val="0"/>
        <w:ind w:left="480" w:hanging="480"/>
        <w:rPr>
          <w:rFonts w:ascii="Arial" w:hAnsi="Arial" w:cs="Arial"/>
          <w:sz w:val="18"/>
          <w:lang w:val="en-US"/>
        </w:rPr>
      </w:pPr>
      <w:r w:rsidRPr="0098717E">
        <w:rPr>
          <w:rFonts w:ascii="Arial" w:hAnsi="Arial" w:cs="Arial"/>
          <w:b/>
          <w:sz w:val="18"/>
          <w:szCs w:val="18"/>
          <w:lang w:val="en-US"/>
        </w:rPr>
        <w:fldChar w:fldCharType="begin" w:fldLock="1"/>
      </w:r>
      <w:r w:rsidRPr="0098717E">
        <w:rPr>
          <w:rFonts w:ascii="Arial" w:hAnsi="Arial" w:cs="Arial"/>
          <w:b/>
          <w:sz w:val="18"/>
          <w:szCs w:val="18"/>
          <w:lang w:val="en-US"/>
        </w:rPr>
        <w:instrText xml:space="preserve">ADDIN Mendeley Bibliography CSL_BIBLIOGRAPHY </w:instrText>
      </w:r>
      <w:r w:rsidRPr="0098717E">
        <w:rPr>
          <w:rFonts w:ascii="Arial" w:hAnsi="Arial" w:cs="Arial"/>
          <w:b/>
          <w:sz w:val="18"/>
          <w:szCs w:val="18"/>
          <w:lang w:val="en-US"/>
        </w:rPr>
        <w:fldChar w:fldCharType="separate"/>
      </w:r>
      <w:r w:rsidR="00CC5818" w:rsidRPr="0098717E">
        <w:rPr>
          <w:rFonts w:ascii="Arial" w:hAnsi="Arial" w:cs="Arial"/>
          <w:sz w:val="18"/>
          <w:lang w:val="en-US"/>
        </w:rPr>
        <w:t xml:space="preserve">Davis, J. M., &amp; Chen, N. (2004). Dose response and dose equivalence of antipsychotics. </w:t>
      </w:r>
      <w:r w:rsidR="00CC5818" w:rsidRPr="0098717E">
        <w:rPr>
          <w:rFonts w:ascii="Arial" w:hAnsi="Arial" w:cs="Arial"/>
          <w:i/>
          <w:iCs/>
          <w:sz w:val="18"/>
          <w:lang w:val="en-US"/>
        </w:rPr>
        <w:t>Journal of Clinical Psychopharmacology</w:t>
      </w:r>
      <w:r w:rsidR="00CC5818" w:rsidRPr="0098717E">
        <w:rPr>
          <w:rFonts w:ascii="Arial" w:hAnsi="Arial" w:cs="Arial"/>
          <w:sz w:val="18"/>
          <w:lang w:val="en-US"/>
        </w:rPr>
        <w:t xml:space="preserve">, </w:t>
      </w:r>
      <w:r w:rsidR="00CC5818" w:rsidRPr="0098717E">
        <w:rPr>
          <w:rFonts w:ascii="Arial" w:hAnsi="Arial" w:cs="Arial"/>
          <w:i/>
          <w:iCs/>
          <w:sz w:val="18"/>
          <w:lang w:val="en-US"/>
        </w:rPr>
        <w:t>24</w:t>
      </w:r>
      <w:r w:rsidR="00CC5818" w:rsidRPr="0098717E">
        <w:rPr>
          <w:rFonts w:ascii="Arial" w:hAnsi="Arial" w:cs="Arial"/>
          <w:sz w:val="18"/>
          <w:lang w:val="en-US"/>
        </w:rPr>
        <w:t>(2), 192–208. https://doi.org/10.1097/01.jcp.0000117422.05703.ae</w:t>
      </w:r>
    </w:p>
    <w:p w14:paraId="7B6A0B71" w14:textId="6554D6C1" w:rsidR="00CC5818" w:rsidRPr="00387C81" w:rsidRDefault="00CC5818" w:rsidP="00CC5818">
      <w:pPr>
        <w:widowControl w:val="0"/>
        <w:autoSpaceDE w:val="0"/>
        <w:autoSpaceDN w:val="0"/>
        <w:adjustRightInd w:val="0"/>
        <w:ind w:left="480" w:hanging="480"/>
        <w:rPr>
          <w:rFonts w:ascii="Arial" w:hAnsi="Arial" w:cs="Arial"/>
          <w:sz w:val="18"/>
        </w:rPr>
      </w:pPr>
      <w:r w:rsidRPr="0098717E">
        <w:rPr>
          <w:rFonts w:ascii="Arial" w:hAnsi="Arial" w:cs="Arial"/>
          <w:sz w:val="18"/>
          <w:lang w:val="en-US"/>
        </w:rPr>
        <w:t>Doell, K. C., Olié, E., Corradi-Dell’Acqua, C., Courtet, P., Perroud, N., &amp; Schwartz, S. (</w:t>
      </w:r>
      <w:r w:rsidR="00087D4C">
        <w:rPr>
          <w:rFonts w:ascii="Arial" w:hAnsi="Arial" w:cs="Arial"/>
          <w:sz w:val="18"/>
          <w:lang w:val="en-US"/>
        </w:rPr>
        <w:t>in press</w:t>
      </w:r>
      <w:r w:rsidRPr="0098717E">
        <w:rPr>
          <w:rFonts w:ascii="Arial" w:hAnsi="Arial" w:cs="Arial"/>
          <w:sz w:val="18"/>
          <w:lang w:val="en-US"/>
        </w:rPr>
        <w:t xml:space="preserve">). Atypical processing of social anticipation and feedback in borderline personality disorder. </w:t>
      </w:r>
      <w:r w:rsidRPr="00387C81">
        <w:rPr>
          <w:rFonts w:ascii="Arial" w:hAnsi="Arial" w:cs="Arial"/>
          <w:i/>
          <w:iCs/>
          <w:sz w:val="18"/>
        </w:rPr>
        <w:t>NeuroImage: Clinical</w:t>
      </w:r>
      <w:r w:rsidRPr="00387C81">
        <w:rPr>
          <w:rFonts w:ascii="Arial" w:hAnsi="Arial" w:cs="Arial"/>
          <w:sz w:val="18"/>
        </w:rPr>
        <w:t>.</w:t>
      </w:r>
    </w:p>
    <w:p w14:paraId="2E45D90D" w14:textId="77777777" w:rsidR="00CC5818" w:rsidRPr="0098717E" w:rsidRDefault="00CC5818" w:rsidP="00CC5818">
      <w:pPr>
        <w:widowControl w:val="0"/>
        <w:autoSpaceDE w:val="0"/>
        <w:autoSpaceDN w:val="0"/>
        <w:adjustRightInd w:val="0"/>
        <w:ind w:left="480" w:hanging="480"/>
        <w:rPr>
          <w:rFonts w:ascii="Arial" w:hAnsi="Arial" w:cs="Arial"/>
          <w:sz w:val="18"/>
          <w:lang w:val="en-US"/>
        </w:rPr>
      </w:pPr>
      <w:r w:rsidRPr="00387C81">
        <w:rPr>
          <w:rFonts w:ascii="Arial" w:hAnsi="Arial" w:cs="Arial"/>
          <w:sz w:val="18"/>
        </w:rPr>
        <w:t xml:space="preserve">Olié, E., Doell, K. C., Corradi-Dell’Acqua, C., Courtet, P., Perroud, N., &amp; Schwartz, S. (2018). </w:t>
      </w:r>
      <w:r w:rsidRPr="0098717E">
        <w:rPr>
          <w:rFonts w:ascii="Arial" w:hAnsi="Arial" w:cs="Arial"/>
          <w:sz w:val="18"/>
          <w:lang w:val="en-US"/>
        </w:rPr>
        <w:t xml:space="preserve">Physical pain recruits the nucleus accumbens during social distress in borderline personality disorder. </w:t>
      </w:r>
      <w:r w:rsidRPr="0098717E">
        <w:rPr>
          <w:rFonts w:ascii="Arial" w:hAnsi="Arial" w:cs="Arial"/>
          <w:i/>
          <w:iCs/>
          <w:sz w:val="18"/>
          <w:lang w:val="en-US"/>
        </w:rPr>
        <w:t>Social Cognitive and Affective Neuroscience</w:t>
      </w:r>
      <w:r w:rsidRPr="0098717E">
        <w:rPr>
          <w:rFonts w:ascii="Arial" w:hAnsi="Arial" w:cs="Arial"/>
          <w:sz w:val="18"/>
          <w:lang w:val="en-US"/>
        </w:rPr>
        <w:t xml:space="preserve">, </w:t>
      </w:r>
      <w:r w:rsidRPr="0098717E">
        <w:rPr>
          <w:rFonts w:ascii="Arial" w:hAnsi="Arial" w:cs="Arial"/>
          <w:i/>
          <w:iCs/>
          <w:sz w:val="18"/>
          <w:lang w:val="en-US"/>
        </w:rPr>
        <w:t>13</w:t>
      </w:r>
      <w:r w:rsidRPr="0098717E">
        <w:rPr>
          <w:rFonts w:ascii="Arial" w:hAnsi="Arial" w:cs="Arial"/>
          <w:sz w:val="18"/>
          <w:lang w:val="en-US"/>
        </w:rPr>
        <w:t>(10), 1071–1080. https://doi.org/10.1093/scan/nsy078</w:t>
      </w:r>
    </w:p>
    <w:p w14:paraId="48A489E2" w14:textId="77777777" w:rsidR="00CC5818" w:rsidRPr="0098717E" w:rsidRDefault="00CC5818" w:rsidP="00CC5818">
      <w:pPr>
        <w:widowControl w:val="0"/>
        <w:autoSpaceDE w:val="0"/>
        <w:autoSpaceDN w:val="0"/>
        <w:adjustRightInd w:val="0"/>
        <w:ind w:left="480" w:hanging="480"/>
        <w:rPr>
          <w:rFonts w:ascii="Arial" w:hAnsi="Arial" w:cs="Arial"/>
          <w:sz w:val="18"/>
          <w:lang w:val="en-US"/>
        </w:rPr>
      </w:pPr>
      <w:r w:rsidRPr="0098717E">
        <w:rPr>
          <w:rFonts w:ascii="Arial" w:hAnsi="Arial" w:cs="Arial"/>
          <w:sz w:val="18"/>
          <w:lang w:val="en-US"/>
        </w:rPr>
        <w:t xml:space="preserve">Sackeim, H. A. (2001). The definition and meaning of treatment-resistant depression. </w:t>
      </w:r>
      <w:r w:rsidRPr="0098717E">
        <w:rPr>
          <w:rFonts w:ascii="Arial" w:hAnsi="Arial" w:cs="Arial"/>
          <w:i/>
          <w:iCs/>
          <w:sz w:val="18"/>
          <w:lang w:val="en-US"/>
        </w:rPr>
        <w:t>The Journal of Clinical Psychiatry</w:t>
      </w:r>
      <w:r w:rsidRPr="0098717E">
        <w:rPr>
          <w:rFonts w:ascii="Arial" w:hAnsi="Arial" w:cs="Arial"/>
          <w:sz w:val="18"/>
          <w:lang w:val="en-US"/>
        </w:rPr>
        <w:t xml:space="preserve">, </w:t>
      </w:r>
      <w:r w:rsidRPr="0098717E">
        <w:rPr>
          <w:rFonts w:ascii="Arial" w:hAnsi="Arial" w:cs="Arial"/>
          <w:i/>
          <w:iCs/>
          <w:sz w:val="18"/>
          <w:lang w:val="en-US"/>
        </w:rPr>
        <w:t>62 Suppl 1</w:t>
      </w:r>
      <w:r w:rsidRPr="0098717E">
        <w:rPr>
          <w:rFonts w:ascii="Arial" w:hAnsi="Arial" w:cs="Arial"/>
          <w:sz w:val="18"/>
          <w:lang w:val="en-US"/>
        </w:rPr>
        <w:t>, 10–17.</w:t>
      </w:r>
    </w:p>
    <w:p w14:paraId="6B4A8BD9" w14:textId="77777777" w:rsidR="004C79FB" w:rsidRPr="0098717E" w:rsidRDefault="004C79FB" w:rsidP="004633F2">
      <w:pPr>
        <w:rPr>
          <w:rFonts w:ascii="Arial" w:hAnsi="Arial" w:cs="Arial"/>
          <w:b/>
          <w:sz w:val="18"/>
          <w:szCs w:val="18"/>
          <w:lang w:val="en-US"/>
        </w:rPr>
      </w:pPr>
      <w:r w:rsidRPr="0098717E">
        <w:rPr>
          <w:rFonts w:ascii="Arial" w:hAnsi="Arial" w:cs="Arial"/>
          <w:b/>
          <w:sz w:val="18"/>
          <w:szCs w:val="18"/>
          <w:lang w:val="en-US"/>
        </w:rPr>
        <w:fldChar w:fldCharType="end"/>
      </w:r>
    </w:p>
    <w:p w14:paraId="25E4017D" w14:textId="77777777" w:rsidR="004633F2" w:rsidRPr="0098717E" w:rsidRDefault="004633F2" w:rsidP="00F737BF">
      <w:pPr>
        <w:rPr>
          <w:lang w:val="en-US"/>
        </w:rPr>
      </w:pPr>
    </w:p>
    <w:sectPr w:rsidR="004633F2" w:rsidRPr="0098717E" w:rsidSect="008F25A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321689"/>
    <w:multiLevelType w:val="hybridMultilevel"/>
    <w:tmpl w:val="91C473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8CD05C9"/>
    <w:multiLevelType w:val="hybridMultilevel"/>
    <w:tmpl w:val="50C29F36"/>
    <w:lvl w:ilvl="0" w:tplc="04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2EB921F0"/>
    <w:multiLevelType w:val="hybridMultilevel"/>
    <w:tmpl w:val="413E55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3003902"/>
    <w:multiLevelType w:val="hybridMultilevel"/>
    <w:tmpl w:val="A51487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6CE379A"/>
    <w:multiLevelType w:val="hybridMultilevel"/>
    <w:tmpl w:val="50C29F36"/>
    <w:lvl w:ilvl="0" w:tplc="04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40820326"/>
    <w:multiLevelType w:val="hybridMultilevel"/>
    <w:tmpl w:val="9AE4CB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42381093"/>
    <w:multiLevelType w:val="hybridMultilevel"/>
    <w:tmpl w:val="2698EE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85C3C78"/>
    <w:multiLevelType w:val="hybridMultilevel"/>
    <w:tmpl w:val="E05A82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AA56AB4"/>
    <w:multiLevelType w:val="hybridMultilevel"/>
    <w:tmpl w:val="93FA8C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4CE41C2C"/>
    <w:multiLevelType w:val="hybridMultilevel"/>
    <w:tmpl w:val="03B469B2"/>
    <w:lvl w:ilvl="0" w:tplc="86E6AD46">
      <w:start w:val="1"/>
      <w:numFmt w:val="bullet"/>
      <w:lvlText w:val=""/>
      <w:lvlJc w:val="left"/>
      <w:pPr>
        <w:ind w:left="720" w:hanging="360"/>
      </w:pPr>
      <w:rPr>
        <w:rFonts w:ascii="Wingdings" w:eastAsia="Times New Roman"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16B3892"/>
    <w:multiLevelType w:val="hybridMultilevel"/>
    <w:tmpl w:val="E79831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7953D0F"/>
    <w:multiLevelType w:val="hybridMultilevel"/>
    <w:tmpl w:val="036A3E8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76BA0903"/>
    <w:multiLevelType w:val="hybridMultilevel"/>
    <w:tmpl w:val="BCACBA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0"/>
  </w:num>
  <w:num w:numId="4">
    <w:abstractNumId w:val="2"/>
  </w:num>
  <w:num w:numId="5">
    <w:abstractNumId w:val="8"/>
  </w:num>
  <w:num w:numId="6">
    <w:abstractNumId w:val="11"/>
  </w:num>
  <w:num w:numId="7">
    <w:abstractNumId w:val="3"/>
  </w:num>
  <w:num w:numId="8">
    <w:abstractNumId w:val="6"/>
  </w:num>
  <w:num w:numId="9">
    <w:abstractNumId w:val="7"/>
  </w:num>
  <w:num w:numId="10">
    <w:abstractNumId w:val="12"/>
  </w:num>
  <w:num w:numId="11">
    <w:abstractNumId w:val="1"/>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en-CA" w:vendorID="64" w:dllVersion="6" w:nlCheck="1" w:checkStyle="1"/>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7BF"/>
    <w:rsid w:val="000144AD"/>
    <w:rsid w:val="0004045C"/>
    <w:rsid w:val="0005706F"/>
    <w:rsid w:val="0006318C"/>
    <w:rsid w:val="000660B4"/>
    <w:rsid w:val="00087D4C"/>
    <w:rsid w:val="000D66BC"/>
    <w:rsid w:val="000F68EE"/>
    <w:rsid w:val="00102C16"/>
    <w:rsid w:val="00162FB7"/>
    <w:rsid w:val="0018073E"/>
    <w:rsid w:val="001B070E"/>
    <w:rsid w:val="001C7572"/>
    <w:rsid w:val="001D372B"/>
    <w:rsid w:val="00223FAD"/>
    <w:rsid w:val="00233F1A"/>
    <w:rsid w:val="00235A0B"/>
    <w:rsid w:val="00237ECE"/>
    <w:rsid w:val="0025401D"/>
    <w:rsid w:val="002A7B4C"/>
    <w:rsid w:val="002B7948"/>
    <w:rsid w:val="003561C7"/>
    <w:rsid w:val="00372B16"/>
    <w:rsid w:val="00387AD9"/>
    <w:rsid w:val="00387C81"/>
    <w:rsid w:val="003A4A39"/>
    <w:rsid w:val="003A7265"/>
    <w:rsid w:val="003B32C1"/>
    <w:rsid w:val="003B7983"/>
    <w:rsid w:val="003F71AC"/>
    <w:rsid w:val="00403A32"/>
    <w:rsid w:val="0042395F"/>
    <w:rsid w:val="004623A4"/>
    <w:rsid w:val="004633F2"/>
    <w:rsid w:val="00472346"/>
    <w:rsid w:val="00485738"/>
    <w:rsid w:val="004B0640"/>
    <w:rsid w:val="004C76FB"/>
    <w:rsid w:val="004C79FB"/>
    <w:rsid w:val="004D2168"/>
    <w:rsid w:val="00513FCE"/>
    <w:rsid w:val="005315B3"/>
    <w:rsid w:val="00566AE6"/>
    <w:rsid w:val="005C7237"/>
    <w:rsid w:val="005E391C"/>
    <w:rsid w:val="005F376A"/>
    <w:rsid w:val="005F6D5E"/>
    <w:rsid w:val="0061193B"/>
    <w:rsid w:val="00630EFE"/>
    <w:rsid w:val="00634708"/>
    <w:rsid w:val="00636B10"/>
    <w:rsid w:val="006D7E6A"/>
    <w:rsid w:val="006E0965"/>
    <w:rsid w:val="007370E3"/>
    <w:rsid w:val="00742442"/>
    <w:rsid w:val="007772F9"/>
    <w:rsid w:val="007C1743"/>
    <w:rsid w:val="007C26A4"/>
    <w:rsid w:val="007D3AAA"/>
    <w:rsid w:val="00832B0A"/>
    <w:rsid w:val="008918DE"/>
    <w:rsid w:val="00896994"/>
    <w:rsid w:val="008A78C9"/>
    <w:rsid w:val="008D32EF"/>
    <w:rsid w:val="008F25A1"/>
    <w:rsid w:val="009124E6"/>
    <w:rsid w:val="00921407"/>
    <w:rsid w:val="00980B29"/>
    <w:rsid w:val="0098314F"/>
    <w:rsid w:val="0098717E"/>
    <w:rsid w:val="009D7A2A"/>
    <w:rsid w:val="009E2E6F"/>
    <w:rsid w:val="009F014A"/>
    <w:rsid w:val="00A32C46"/>
    <w:rsid w:val="00A3761F"/>
    <w:rsid w:val="00A412DC"/>
    <w:rsid w:val="00A563B9"/>
    <w:rsid w:val="00A7694C"/>
    <w:rsid w:val="00A83E0F"/>
    <w:rsid w:val="00B17C76"/>
    <w:rsid w:val="00B41196"/>
    <w:rsid w:val="00B80493"/>
    <w:rsid w:val="00B815A9"/>
    <w:rsid w:val="00B92FFD"/>
    <w:rsid w:val="00BF2AF1"/>
    <w:rsid w:val="00C2349B"/>
    <w:rsid w:val="00C4106C"/>
    <w:rsid w:val="00C532E3"/>
    <w:rsid w:val="00C8056B"/>
    <w:rsid w:val="00C85C22"/>
    <w:rsid w:val="00CC5818"/>
    <w:rsid w:val="00CC6B42"/>
    <w:rsid w:val="00CD1FD5"/>
    <w:rsid w:val="00CE114E"/>
    <w:rsid w:val="00CE6674"/>
    <w:rsid w:val="00CF082B"/>
    <w:rsid w:val="00CF455A"/>
    <w:rsid w:val="00D07BB9"/>
    <w:rsid w:val="00D76163"/>
    <w:rsid w:val="00DA386C"/>
    <w:rsid w:val="00DC24D5"/>
    <w:rsid w:val="00DD3F6E"/>
    <w:rsid w:val="00DE1643"/>
    <w:rsid w:val="00DF11F1"/>
    <w:rsid w:val="00E43954"/>
    <w:rsid w:val="00E50588"/>
    <w:rsid w:val="00E51EA2"/>
    <w:rsid w:val="00E641CB"/>
    <w:rsid w:val="00EC7D39"/>
    <w:rsid w:val="00ED7506"/>
    <w:rsid w:val="00F057B1"/>
    <w:rsid w:val="00F31BFD"/>
    <w:rsid w:val="00F40980"/>
    <w:rsid w:val="00F51F3B"/>
    <w:rsid w:val="00F737BF"/>
    <w:rsid w:val="00F7670C"/>
    <w:rsid w:val="00FB0D05"/>
    <w:rsid w:val="00FC0D32"/>
    <w:rsid w:val="00FE1E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AF43F"/>
  <w15:chartTrackingRefBased/>
  <w15:docId w15:val="{58960961-41B8-4C00-A0E2-609EB5172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32EF"/>
    <w:pPr>
      <w:spacing w:after="0" w:line="240" w:lineRule="auto"/>
    </w:pPr>
    <w:rPr>
      <w:rFonts w:ascii="Times New Roman" w:eastAsia="Times New Roman" w:hAnsi="Times New Roman" w:cs="Times New Roman"/>
      <w:sz w:val="24"/>
      <w:szCs w:val="2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37BF"/>
    <w:rPr>
      <w:color w:val="0563C1" w:themeColor="hyperlink"/>
      <w:u w:val="single"/>
    </w:rPr>
  </w:style>
  <w:style w:type="paragraph" w:styleId="ListParagraph">
    <w:name w:val="List Paragraph"/>
    <w:basedOn w:val="Normal"/>
    <w:uiPriority w:val="34"/>
    <w:qFormat/>
    <w:rsid w:val="00F737BF"/>
    <w:pPr>
      <w:spacing w:after="200" w:line="276" w:lineRule="auto"/>
      <w:ind w:left="720"/>
      <w:contextualSpacing/>
    </w:pPr>
    <w:rPr>
      <w:rFonts w:asciiTheme="minorHAnsi" w:eastAsiaTheme="minorHAnsi" w:hAnsiTheme="minorHAnsi" w:cstheme="minorBidi"/>
      <w:sz w:val="22"/>
      <w:szCs w:val="22"/>
      <w:lang w:val="en-US" w:eastAsia="en-US"/>
    </w:rPr>
  </w:style>
  <w:style w:type="table" w:styleId="TableGrid">
    <w:name w:val="Table Grid"/>
    <w:basedOn w:val="TableNormal"/>
    <w:uiPriority w:val="39"/>
    <w:rsid w:val="00F737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6D5E"/>
    <w:rPr>
      <w:color w:val="808080"/>
    </w:rPr>
  </w:style>
  <w:style w:type="paragraph" w:styleId="BalloonText">
    <w:name w:val="Balloon Text"/>
    <w:basedOn w:val="Normal"/>
    <w:link w:val="BalloonTextChar"/>
    <w:uiPriority w:val="99"/>
    <w:semiHidden/>
    <w:unhideWhenUsed/>
    <w:rsid w:val="00C532E3"/>
    <w:rPr>
      <w:rFonts w:ascii="Segoe UI" w:eastAsiaTheme="minorHAnsi" w:hAnsi="Segoe UI" w:cs="Segoe UI"/>
      <w:sz w:val="18"/>
      <w:szCs w:val="18"/>
      <w:lang w:val="en-US" w:eastAsia="en-US"/>
    </w:rPr>
  </w:style>
  <w:style w:type="character" w:customStyle="1" w:styleId="BalloonTextChar">
    <w:name w:val="Balloon Text Char"/>
    <w:basedOn w:val="DefaultParagraphFont"/>
    <w:link w:val="BalloonText"/>
    <w:uiPriority w:val="99"/>
    <w:semiHidden/>
    <w:rsid w:val="00C532E3"/>
    <w:rPr>
      <w:rFonts w:ascii="Segoe UI" w:hAnsi="Segoe UI" w:cs="Segoe UI"/>
      <w:sz w:val="18"/>
      <w:szCs w:val="18"/>
      <w:lang w:val="en-US"/>
    </w:rPr>
  </w:style>
  <w:style w:type="character" w:styleId="CommentReference">
    <w:name w:val="annotation reference"/>
    <w:basedOn w:val="DefaultParagraphFont"/>
    <w:uiPriority w:val="99"/>
    <w:semiHidden/>
    <w:unhideWhenUsed/>
    <w:rsid w:val="00C532E3"/>
    <w:rPr>
      <w:sz w:val="16"/>
      <w:szCs w:val="16"/>
    </w:rPr>
  </w:style>
  <w:style w:type="paragraph" w:styleId="CommentText">
    <w:name w:val="annotation text"/>
    <w:basedOn w:val="Normal"/>
    <w:link w:val="CommentTextChar"/>
    <w:uiPriority w:val="99"/>
    <w:semiHidden/>
    <w:unhideWhenUsed/>
    <w:rsid w:val="00C532E3"/>
    <w:pPr>
      <w:spacing w:after="200"/>
    </w:pPr>
    <w:rPr>
      <w:rFonts w:asciiTheme="minorHAnsi" w:eastAsiaTheme="minorHAnsi" w:hAnsiTheme="minorHAnsi" w:cstheme="minorBidi"/>
      <w:sz w:val="20"/>
      <w:szCs w:val="20"/>
      <w:lang w:val="en-US" w:eastAsia="en-US"/>
    </w:rPr>
  </w:style>
  <w:style w:type="character" w:customStyle="1" w:styleId="CommentTextChar">
    <w:name w:val="Comment Text Char"/>
    <w:basedOn w:val="DefaultParagraphFont"/>
    <w:link w:val="CommentText"/>
    <w:uiPriority w:val="99"/>
    <w:semiHidden/>
    <w:rsid w:val="00C532E3"/>
    <w:rPr>
      <w:sz w:val="20"/>
      <w:szCs w:val="20"/>
      <w:lang w:val="en-US"/>
    </w:rPr>
  </w:style>
  <w:style w:type="paragraph" w:styleId="CommentSubject">
    <w:name w:val="annotation subject"/>
    <w:basedOn w:val="CommentText"/>
    <w:next w:val="CommentText"/>
    <w:link w:val="CommentSubjectChar"/>
    <w:uiPriority w:val="99"/>
    <w:semiHidden/>
    <w:unhideWhenUsed/>
    <w:rsid w:val="00C532E3"/>
    <w:rPr>
      <w:b/>
      <w:bCs/>
    </w:rPr>
  </w:style>
  <w:style w:type="character" w:customStyle="1" w:styleId="CommentSubjectChar">
    <w:name w:val="Comment Subject Char"/>
    <w:basedOn w:val="CommentTextChar"/>
    <w:link w:val="CommentSubject"/>
    <w:uiPriority w:val="99"/>
    <w:semiHidden/>
    <w:rsid w:val="00C532E3"/>
    <w:rPr>
      <w:b/>
      <w:bCs/>
      <w:sz w:val="20"/>
      <w:szCs w:val="20"/>
      <w:lang w:val="en-US"/>
    </w:rPr>
  </w:style>
  <w:style w:type="paragraph" w:styleId="Revision">
    <w:name w:val="Revision"/>
    <w:hidden/>
    <w:uiPriority w:val="99"/>
    <w:semiHidden/>
    <w:rsid w:val="00233F1A"/>
    <w:pPr>
      <w:spacing w:after="0" w:line="240" w:lineRule="auto"/>
    </w:pPr>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180621">
      <w:bodyDiv w:val="1"/>
      <w:marLeft w:val="0"/>
      <w:marRight w:val="0"/>
      <w:marTop w:val="0"/>
      <w:marBottom w:val="0"/>
      <w:divBdr>
        <w:top w:val="none" w:sz="0" w:space="0" w:color="auto"/>
        <w:left w:val="none" w:sz="0" w:space="0" w:color="auto"/>
        <w:bottom w:val="none" w:sz="0" w:space="0" w:color="auto"/>
        <w:right w:val="none" w:sz="0" w:space="0" w:color="auto"/>
      </w:divBdr>
    </w:div>
    <w:div w:id="529728465">
      <w:bodyDiv w:val="1"/>
      <w:marLeft w:val="0"/>
      <w:marRight w:val="0"/>
      <w:marTop w:val="0"/>
      <w:marBottom w:val="0"/>
      <w:divBdr>
        <w:top w:val="none" w:sz="0" w:space="0" w:color="auto"/>
        <w:left w:val="none" w:sz="0" w:space="0" w:color="auto"/>
        <w:bottom w:val="none" w:sz="0" w:space="0" w:color="auto"/>
        <w:right w:val="none" w:sz="0" w:space="0" w:color="auto"/>
      </w:divBdr>
    </w:div>
    <w:div w:id="681981226">
      <w:bodyDiv w:val="1"/>
      <w:marLeft w:val="0"/>
      <w:marRight w:val="0"/>
      <w:marTop w:val="0"/>
      <w:marBottom w:val="0"/>
      <w:divBdr>
        <w:top w:val="none" w:sz="0" w:space="0" w:color="auto"/>
        <w:left w:val="none" w:sz="0" w:space="0" w:color="auto"/>
        <w:bottom w:val="none" w:sz="0" w:space="0" w:color="auto"/>
        <w:right w:val="none" w:sz="0" w:space="0" w:color="auto"/>
      </w:divBdr>
    </w:div>
    <w:div w:id="912274897">
      <w:bodyDiv w:val="1"/>
      <w:marLeft w:val="0"/>
      <w:marRight w:val="0"/>
      <w:marTop w:val="0"/>
      <w:marBottom w:val="0"/>
      <w:divBdr>
        <w:top w:val="none" w:sz="0" w:space="0" w:color="auto"/>
        <w:left w:val="none" w:sz="0" w:space="0" w:color="auto"/>
        <w:bottom w:val="none" w:sz="0" w:space="0" w:color="auto"/>
        <w:right w:val="none" w:sz="0" w:space="0" w:color="auto"/>
      </w:divBdr>
    </w:div>
    <w:div w:id="1212234520">
      <w:bodyDiv w:val="1"/>
      <w:marLeft w:val="0"/>
      <w:marRight w:val="0"/>
      <w:marTop w:val="0"/>
      <w:marBottom w:val="0"/>
      <w:divBdr>
        <w:top w:val="none" w:sz="0" w:space="0" w:color="auto"/>
        <w:left w:val="none" w:sz="0" w:space="0" w:color="auto"/>
        <w:bottom w:val="none" w:sz="0" w:space="0" w:color="auto"/>
        <w:right w:val="none" w:sz="0" w:space="0" w:color="auto"/>
      </w:divBdr>
    </w:div>
    <w:div w:id="1375497405">
      <w:bodyDiv w:val="1"/>
      <w:marLeft w:val="0"/>
      <w:marRight w:val="0"/>
      <w:marTop w:val="0"/>
      <w:marBottom w:val="0"/>
      <w:divBdr>
        <w:top w:val="none" w:sz="0" w:space="0" w:color="auto"/>
        <w:left w:val="none" w:sz="0" w:space="0" w:color="auto"/>
        <w:bottom w:val="none" w:sz="0" w:space="0" w:color="auto"/>
        <w:right w:val="none" w:sz="0" w:space="0" w:color="auto"/>
      </w:divBdr>
    </w:div>
    <w:div w:id="159681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B9DDF28782A452F99DCE92F8650498E"/>
        <w:category>
          <w:name w:val="General"/>
          <w:gallery w:val="placeholder"/>
        </w:category>
        <w:types>
          <w:type w:val="bbPlcHdr"/>
        </w:types>
        <w:behaviors>
          <w:behavior w:val="content"/>
        </w:behaviors>
        <w:guid w:val="{492E5802-BE61-48F3-AE44-C921D2E8A07E}"/>
      </w:docPartPr>
      <w:docPartBody>
        <w:p w:rsidR="006665C5" w:rsidRDefault="00692F52" w:rsidP="00692F52">
          <w:pPr>
            <w:pStyle w:val="FB9DDF28782A452F99DCE92F8650498E17"/>
          </w:pPr>
          <w:r w:rsidRPr="009D7A2A">
            <w:rPr>
              <w:rStyle w:val="PlaceholderText"/>
              <w:rFonts w:ascii="Arial" w:hAnsi="Arial" w:cs="Arial"/>
              <w:i/>
              <w:sz w:val="18"/>
              <w:szCs w:val="18"/>
            </w:rPr>
            <w:t xml:space="preserve">Please Select Subject Area from dropdown </w:t>
          </w:r>
          <w:r>
            <w:rPr>
              <w:rStyle w:val="PlaceholderText"/>
              <w:rFonts w:ascii="Arial" w:hAnsi="Arial" w:cs="Arial"/>
              <w:i/>
              <w:sz w:val="18"/>
              <w:szCs w:val="18"/>
            </w:rPr>
            <w:t xml:space="preserve">list                                             </w:t>
          </w:r>
        </w:p>
      </w:docPartBody>
    </w:docPart>
    <w:docPart>
      <w:docPartPr>
        <w:name w:val="3C0F39763F874423AAA5C3B9BBF90D10"/>
        <w:category>
          <w:name w:val="General"/>
          <w:gallery w:val="placeholder"/>
        </w:category>
        <w:types>
          <w:type w:val="bbPlcHdr"/>
        </w:types>
        <w:behaviors>
          <w:behavior w:val="content"/>
        </w:behaviors>
        <w:guid w:val="{2CC10149-804A-4983-B777-DD206142FC96}"/>
      </w:docPartPr>
      <w:docPartBody>
        <w:p w:rsidR="006665C5" w:rsidRDefault="00692F52" w:rsidP="00692F52">
          <w:pPr>
            <w:pStyle w:val="3C0F39763F874423AAA5C3B9BBF90D105"/>
          </w:pPr>
          <w:r w:rsidRPr="00FC0D32">
            <w:rPr>
              <w:rFonts w:ascii="Arial" w:hAnsi="Arial" w:cs="Arial"/>
              <w:i/>
              <w:color w:val="A5A5A5" w:themeColor="accent3"/>
              <w:sz w:val="18"/>
              <w:szCs w:val="18"/>
            </w:rPr>
            <w:t xml:space="preserve">Please select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2F52"/>
    <w:rsid w:val="00103ED9"/>
    <w:rsid w:val="00312675"/>
    <w:rsid w:val="0034380A"/>
    <w:rsid w:val="00356732"/>
    <w:rsid w:val="003F0320"/>
    <w:rsid w:val="00426CC9"/>
    <w:rsid w:val="005F2171"/>
    <w:rsid w:val="006665C5"/>
    <w:rsid w:val="00666E6C"/>
    <w:rsid w:val="00692F52"/>
    <w:rsid w:val="00730BC9"/>
    <w:rsid w:val="0077096C"/>
    <w:rsid w:val="007C377C"/>
    <w:rsid w:val="007F47DA"/>
    <w:rsid w:val="00904A32"/>
    <w:rsid w:val="009B7676"/>
    <w:rsid w:val="00AA00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2F52"/>
    <w:rPr>
      <w:color w:val="808080"/>
    </w:rPr>
  </w:style>
  <w:style w:type="paragraph" w:customStyle="1" w:styleId="EE652B83D54A490A95DCC0AA41D9BAEA">
    <w:name w:val="EE652B83D54A490A95DCC0AA41D9BAEA"/>
    <w:rsid w:val="00692F52"/>
    <w:pPr>
      <w:spacing w:after="200" w:line="276" w:lineRule="auto"/>
    </w:pPr>
    <w:rPr>
      <w:rFonts w:eastAsiaTheme="minorHAnsi"/>
      <w:lang w:val="en-US" w:eastAsia="en-US"/>
    </w:rPr>
  </w:style>
  <w:style w:type="paragraph" w:customStyle="1" w:styleId="DA2BC1A9670C40BA8B07456E93F97885">
    <w:name w:val="DA2BC1A9670C40BA8B07456E93F97885"/>
    <w:rsid w:val="00692F52"/>
  </w:style>
  <w:style w:type="paragraph" w:customStyle="1" w:styleId="FB9DDF28782A452F99DCE92F8650498E">
    <w:name w:val="FB9DDF28782A452F99DCE92F8650498E"/>
    <w:rsid w:val="00692F52"/>
  </w:style>
  <w:style w:type="paragraph" w:customStyle="1" w:styleId="FB9DDF28782A452F99DCE92F8650498E1">
    <w:name w:val="FB9DDF28782A452F99DCE92F8650498E1"/>
    <w:rsid w:val="00692F52"/>
    <w:pPr>
      <w:spacing w:after="200" w:line="276" w:lineRule="auto"/>
      <w:ind w:left="720"/>
      <w:contextualSpacing/>
    </w:pPr>
    <w:rPr>
      <w:rFonts w:eastAsiaTheme="minorHAnsi"/>
      <w:lang w:val="en-US" w:eastAsia="en-US"/>
    </w:rPr>
  </w:style>
  <w:style w:type="paragraph" w:customStyle="1" w:styleId="FB9DDF28782A452F99DCE92F8650498E2">
    <w:name w:val="FB9DDF28782A452F99DCE92F8650498E2"/>
    <w:rsid w:val="00692F52"/>
    <w:pPr>
      <w:spacing w:after="200" w:line="276" w:lineRule="auto"/>
      <w:ind w:left="720"/>
      <w:contextualSpacing/>
    </w:pPr>
    <w:rPr>
      <w:rFonts w:eastAsiaTheme="minorHAnsi"/>
      <w:lang w:val="en-US" w:eastAsia="en-US"/>
    </w:rPr>
  </w:style>
  <w:style w:type="paragraph" w:customStyle="1" w:styleId="FB9DDF28782A452F99DCE92F8650498E3">
    <w:name w:val="FB9DDF28782A452F99DCE92F8650498E3"/>
    <w:rsid w:val="00692F52"/>
    <w:pPr>
      <w:spacing w:after="200" w:line="276" w:lineRule="auto"/>
      <w:ind w:left="720"/>
      <w:contextualSpacing/>
    </w:pPr>
    <w:rPr>
      <w:rFonts w:eastAsiaTheme="minorHAnsi"/>
      <w:lang w:val="en-US" w:eastAsia="en-US"/>
    </w:rPr>
  </w:style>
  <w:style w:type="paragraph" w:customStyle="1" w:styleId="FB9DDF28782A452F99DCE92F8650498E4">
    <w:name w:val="FB9DDF28782A452F99DCE92F8650498E4"/>
    <w:rsid w:val="00692F52"/>
    <w:pPr>
      <w:spacing w:after="200" w:line="276" w:lineRule="auto"/>
      <w:ind w:left="720"/>
      <w:contextualSpacing/>
    </w:pPr>
    <w:rPr>
      <w:rFonts w:eastAsiaTheme="minorHAnsi"/>
      <w:lang w:val="en-US" w:eastAsia="en-US"/>
    </w:rPr>
  </w:style>
  <w:style w:type="paragraph" w:customStyle="1" w:styleId="FB9DDF28782A452F99DCE92F8650498E5">
    <w:name w:val="FB9DDF28782A452F99DCE92F8650498E5"/>
    <w:rsid w:val="00692F52"/>
    <w:pPr>
      <w:spacing w:after="200" w:line="276" w:lineRule="auto"/>
    </w:pPr>
    <w:rPr>
      <w:rFonts w:eastAsiaTheme="minorHAnsi"/>
      <w:lang w:val="en-US" w:eastAsia="en-US"/>
    </w:rPr>
  </w:style>
  <w:style w:type="paragraph" w:customStyle="1" w:styleId="FB9DDF28782A452F99DCE92F8650498E6">
    <w:name w:val="FB9DDF28782A452F99DCE92F8650498E6"/>
    <w:rsid w:val="00692F52"/>
    <w:pPr>
      <w:spacing w:after="200" w:line="276" w:lineRule="auto"/>
    </w:pPr>
    <w:rPr>
      <w:rFonts w:eastAsiaTheme="minorHAnsi"/>
      <w:lang w:val="en-US" w:eastAsia="en-US"/>
    </w:rPr>
  </w:style>
  <w:style w:type="paragraph" w:customStyle="1" w:styleId="FB9DDF28782A452F99DCE92F8650498E7">
    <w:name w:val="FB9DDF28782A452F99DCE92F8650498E7"/>
    <w:rsid w:val="00692F52"/>
    <w:pPr>
      <w:spacing w:after="200" w:line="276" w:lineRule="auto"/>
    </w:pPr>
    <w:rPr>
      <w:rFonts w:eastAsiaTheme="minorHAnsi"/>
      <w:lang w:val="en-US" w:eastAsia="en-US"/>
    </w:rPr>
  </w:style>
  <w:style w:type="paragraph" w:customStyle="1" w:styleId="FB9DDF28782A452F99DCE92F8650498E8">
    <w:name w:val="FB9DDF28782A452F99DCE92F8650498E8"/>
    <w:rsid w:val="00692F52"/>
    <w:pPr>
      <w:spacing w:after="200" w:line="276" w:lineRule="auto"/>
    </w:pPr>
    <w:rPr>
      <w:rFonts w:eastAsiaTheme="minorHAnsi"/>
      <w:lang w:val="en-US" w:eastAsia="en-US"/>
    </w:rPr>
  </w:style>
  <w:style w:type="paragraph" w:customStyle="1" w:styleId="FB9DDF28782A452F99DCE92F8650498E9">
    <w:name w:val="FB9DDF28782A452F99DCE92F8650498E9"/>
    <w:rsid w:val="00692F52"/>
    <w:pPr>
      <w:spacing w:after="200" w:line="276" w:lineRule="auto"/>
    </w:pPr>
    <w:rPr>
      <w:rFonts w:eastAsiaTheme="minorHAnsi"/>
      <w:lang w:val="en-US" w:eastAsia="en-US"/>
    </w:rPr>
  </w:style>
  <w:style w:type="paragraph" w:customStyle="1" w:styleId="FB9DDF28782A452F99DCE92F8650498E10">
    <w:name w:val="FB9DDF28782A452F99DCE92F8650498E10"/>
    <w:rsid w:val="00692F52"/>
    <w:pPr>
      <w:spacing w:after="200" w:line="276" w:lineRule="auto"/>
    </w:pPr>
    <w:rPr>
      <w:rFonts w:eastAsiaTheme="minorHAnsi"/>
      <w:lang w:val="en-US" w:eastAsia="en-US"/>
    </w:rPr>
  </w:style>
  <w:style w:type="paragraph" w:customStyle="1" w:styleId="FB9DDF28782A452F99DCE92F8650498E11">
    <w:name w:val="FB9DDF28782A452F99DCE92F8650498E11"/>
    <w:rsid w:val="00692F52"/>
    <w:pPr>
      <w:spacing w:after="200" w:line="276" w:lineRule="auto"/>
    </w:pPr>
    <w:rPr>
      <w:rFonts w:eastAsiaTheme="minorHAnsi"/>
      <w:lang w:val="en-US" w:eastAsia="en-US"/>
    </w:rPr>
  </w:style>
  <w:style w:type="paragraph" w:customStyle="1" w:styleId="3C0F39763F874423AAA5C3B9BBF90D10">
    <w:name w:val="3C0F39763F874423AAA5C3B9BBF90D10"/>
    <w:rsid w:val="00692F52"/>
    <w:pPr>
      <w:spacing w:after="200" w:line="276" w:lineRule="auto"/>
      <w:ind w:left="720"/>
      <w:contextualSpacing/>
    </w:pPr>
    <w:rPr>
      <w:rFonts w:eastAsiaTheme="minorHAnsi"/>
      <w:lang w:val="en-US" w:eastAsia="en-US"/>
    </w:rPr>
  </w:style>
  <w:style w:type="paragraph" w:customStyle="1" w:styleId="FB9DDF28782A452F99DCE92F8650498E12">
    <w:name w:val="FB9DDF28782A452F99DCE92F8650498E12"/>
    <w:rsid w:val="00692F52"/>
    <w:pPr>
      <w:spacing w:after="200" w:line="276" w:lineRule="auto"/>
    </w:pPr>
    <w:rPr>
      <w:rFonts w:eastAsiaTheme="minorHAnsi"/>
      <w:lang w:val="en-US" w:eastAsia="en-US"/>
    </w:rPr>
  </w:style>
  <w:style w:type="paragraph" w:customStyle="1" w:styleId="3C0F39763F874423AAA5C3B9BBF90D101">
    <w:name w:val="3C0F39763F874423AAA5C3B9BBF90D101"/>
    <w:rsid w:val="00692F52"/>
    <w:pPr>
      <w:spacing w:after="200" w:line="276" w:lineRule="auto"/>
    </w:pPr>
    <w:rPr>
      <w:rFonts w:eastAsiaTheme="minorHAnsi"/>
      <w:lang w:val="en-US" w:eastAsia="en-US"/>
    </w:rPr>
  </w:style>
  <w:style w:type="paragraph" w:customStyle="1" w:styleId="FB9DDF28782A452F99DCE92F8650498E13">
    <w:name w:val="FB9DDF28782A452F99DCE92F8650498E13"/>
    <w:rsid w:val="00692F52"/>
    <w:pPr>
      <w:spacing w:after="200" w:line="276" w:lineRule="auto"/>
    </w:pPr>
    <w:rPr>
      <w:rFonts w:eastAsiaTheme="minorHAnsi"/>
      <w:lang w:val="en-US" w:eastAsia="en-US"/>
    </w:rPr>
  </w:style>
  <w:style w:type="paragraph" w:customStyle="1" w:styleId="3C0F39763F874423AAA5C3B9BBF90D102">
    <w:name w:val="3C0F39763F874423AAA5C3B9BBF90D102"/>
    <w:rsid w:val="00692F52"/>
    <w:pPr>
      <w:spacing w:after="200" w:line="276" w:lineRule="auto"/>
    </w:pPr>
    <w:rPr>
      <w:rFonts w:eastAsiaTheme="minorHAnsi"/>
      <w:lang w:val="en-US" w:eastAsia="en-US"/>
    </w:rPr>
  </w:style>
  <w:style w:type="paragraph" w:customStyle="1" w:styleId="FB9DDF28782A452F99DCE92F8650498E14">
    <w:name w:val="FB9DDF28782A452F99DCE92F8650498E14"/>
    <w:rsid w:val="00692F52"/>
    <w:pPr>
      <w:spacing w:after="200" w:line="276" w:lineRule="auto"/>
    </w:pPr>
    <w:rPr>
      <w:rFonts w:eastAsiaTheme="minorHAnsi"/>
      <w:lang w:val="en-US" w:eastAsia="en-US"/>
    </w:rPr>
  </w:style>
  <w:style w:type="paragraph" w:customStyle="1" w:styleId="3C0F39763F874423AAA5C3B9BBF90D103">
    <w:name w:val="3C0F39763F874423AAA5C3B9BBF90D103"/>
    <w:rsid w:val="00692F52"/>
    <w:pPr>
      <w:spacing w:after="200" w:line="276" w:lineRule="auto"/>
    </w:pPr>
    <w:rPr>
      <w:rFonts w:eastAsiaTheme="minorHAnsi"/>
      <w:lang w:val="en-US" w:eastAsia="en-US"/>
    </w:rPr>
  </w:style>
  <w:style w:type="paragraph" w:customStyle="1" w:styleId="FB9DDF28782A452F99DCE92F8650498E15">
    <w:name w:val="FB9DDF28782A452F99DCE92F8650498E15"/>
    <w:rsid w:val="00692F52"/>
    <w:pPr>
      <w:spacing w:after="200" w:line="276" w:lineRule="auto"/>
    </w:pPr>
    <w:rPr>
      <w:rFonts w:eastAsiaTheme="minorHAnsi"/>
      <w:lang w:val="en-US" w:eastAsia="en-US"/>
    </w:rPr>
  </w:style>
  <w:style w:type="paragraph" w:customStyle="1" w:styleId="65BC10A046E44CA5AC1F10F0193376E0">
    <w:name w:val="65BC10A046E44CA5AC1F10F0193376E0"/>
    <w:rsid w:val="00692F52"/>
  </w:style>
  <w:style w:type="paragraph" w:customStyle="1" w:styleId="3C0F39763F874423AAA5C3B9BBF90D104">
    <w:name w:val="3C0F39763F874423AAA5C3B9BBF90D104"/>
    <w:rsid w:val="00692F52"/>
    <w:pPr>
      <w:spacing w:after="200" w:line="276" w:lineRule="auto"/>
    </w:pPr>
    <w:rPr>
      <w:rFonts w:eastAsiaTheme="minorHAnsi"/>
      <w:lang w:val="en-US" w:eastAsia="en-US"/>
    </w:rPr>
  </w:style>
  <w:style w:type="paragraph" w:customStyle="1" w:styleId="FB9DDF28782A452F99DCE92F8650498E16">
    <w:name w:val="FB9DDF28782A452F99DCE92F8650498E16"/>
    <w:rsid w:val="00692F52"/>
    <w:pPr>
      <w:spacing w:after="200" w:line="276" w:lineRule="auto"/>
    </w:pPr>
    <w:rPr>
      <w:rFonts w:eastAsiaTheme="minorHAnsi"/>
      <w:lang w:val="en-US" w:eastAsia="en-US"/>
    </w:rPr>
  </w:style>
  <w:style w:type="paragraph" w:customStyle="1" w:styleId="3C0F39763F874423AAA5C3B9BBF90D105">
    <w:name w:val="3C0F39763F874423AAA5C3B9BBF90D105"/>
    <w:rsid w:val="00692F52"/>
    <w:pPr>
      <w:spacing w:after="200" w:line="276" w:lineRule="auto"/>
    </w:pPr>
    <w:rPr>
      <w:rFonts w:eastAsiaTheme="minorHAnsi"/>
      <w:lang w:val="en-US" w:eastAsia="en-US"/>
    </w:rPr>
  </w:style>
  <w:style w:type="paragraph" w:customStyle="1" w:styleId="FB9DDF28782A452F99DCE92F8650498E17">
    <w:name w:val="FB9DDF28782A452F99DCE92F8650498E17"/>
    <w:rsid w:val="00692F52"/>
    <w:pPr>
      <w:spacing w:after="200" w:line="276" w:lineRule="auto"/>
    </w:pPr>
    <w:rPr>
      <w:rFonts w:eastAsiaTheme="minorHAnsi"/>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D7AAAFB8091D4C95C1679EF59384EB" ma:contentTypeVersion="13" ma:contentTypeDescription="Create a new document." ma:contentTypeScope="" ma:versionID="3292d15330000a0a0069de177dbba29d">
  <xsd:schema xmlns:xsd="http://www.w3.org/2001/XMLSchema" xmlns:xs="http://www.w3.org/2001/XMLSchema" xmlns:p="http://schemas.microsoft.com/office/2006/metadata/properties" xmlns:ns3="c5a8e5b8-6077-4d50-a55d-cc48824ac399" xmlns:ns4="b8861419-4a27-43c3-925c-75f28485d22d" targetNamespace="http://schemas.microsoft.com/office/2006/metadata/properties" ma:root="true" ma:fieldsID="7f426a54fe958fa90aeea82347cab243" ns3:_="" ns4:_="">
    <xsd:import namespace="c5a8e5b8-6077-4d50-a55d-cc48824ac399"/>
    <xsd:import namespace="b8861419-4a27-43c3-925c-75f28485d22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a8e5b8-6077-4d50-a55d-cc48824ac3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861419-4a27-43c3-925c-75f28485d22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742D72-A08E-4160-A4B2-C637971C4958}">
  <ds:schemaRefs>
    <ds:schemaRef ds:uri="http://schemas.microsoft.com/sharepoint/v3/contenttype/forms"/>
  </ds:schemaRefs>
</ds:datastoreItem>
</file>

<file path=customXml/itemProps2.xml><?xml version="1.0" encoding="utf-8"?>
<ds:datastoreItem xmlns:ds="http://schemas.openxmlformats.org/officeDocument/2006/customXml" ds:itemID="{96568742-38BF-4624-987C-143809BEA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a8e5b8-6077-4d50-a55d-cc48824ac399"/>
    <ds:schemaRef ds:uri="b8861419-4a27-43c3-925c-75f28485d2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B47EA4-1A4B-4AD6-886D-45BB3B78546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BEF2049-1012-4AA2-ADAB-CF8A1D703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2711</Words>
  <Characters>15457</Characters>
  <Application>Microsoft Office Word</Application>
  <DocSecurity>0</DocSecurity>
  <Lines>128</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Muttram, Caroline (ELS-EXE)</dc:creator>
  <cp:keywords/>
  <dc:description/>
  <cp:lastModifiedBy>K Doell</cp:lastModifiedBy>
  <cp:revision>4</cp:revision>
  <dcterms:created xsi:type="dcterms:W3CDTF">2019-12-05T16:18:00Z</dcterms:created>
  <dcterms:modified xsi:type="dcterms:W3CDTF">2019-12-06T11:09:00Z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0x010100AED7AAAFB8091D4C95C1679EF59384EB</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6th edition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vt:lpwstr>
  </property>
  <property fmtid="{D5CDD505-2E9C-101B-9397-08002B2CF9AE}" pid="9" name="Mendeley Recent Style Id 3_1">
    <vt:lpwstr>http://csl.mendeley.com/styles/5770861/biological-psychiatry-Doell</vt:lpwstr>
  </property>
  <property fmtid="{D5CDD505-2E9C-101B-9397-08002B2CF9AE}" pid="10" name="Mendeley Recent Style Name 3_1">
    <vt:lpwstr>Biological Psychiatry - Doell Version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http://www.zotero.org/styles/harvard1</vt:lpwstr>
  </property>
  <property fmtid="{D5CDD505-2E9C-101B-9397-08002B2CF9AE}" pid="14" name="Mendeley Recent Style Name 5_1">
    <vt:lpwstr>Harvard reference format 1 (deprecated)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http://www.zotero.org/styles/modern-language-association</vt:lpwstr>
  </property>
  <property fmtid="{D5CDD505-2E9C-101B-9397-08002B2CF9AE}" pid="18" name="Mendeley Recent Style Name 7_1">
    <vt:lpwstr>Modern Language Association 8th edition</vt:lpwstr>
  </property>
  <property fmtid="{D5CDD505-2E9C-101B-9397-08002B2CF9AE}" pid="19" name="Mendeley Recent Style Id 8_1">
    <vt:lpwstr>http://www.zotero.org/styles/nature-communications</vt:lpwstr>
  </property>
  <property fmtid="{D5CDD505-2E9C-101B-9397-08002B2CF9AE}" pid="20" name="Mendeley Recent Style Name 8_1">
    <vt:lpwstr>Nature Communications</vt:lpwstr>
  </property>
  <property fmtid="{D5CDD505-2E9C-101B-9397-08002B2CF9AE}" pid="21" name="Mendeley Recent Style Id 9_1">
    <vt:lpwstr>http://www.zotero.org/styles/social-cognitive-and-affective-neuroscience</vt:lpwstr>
  </property>
  <property fmtid="{D5CDD505-2E9C-101B-9397-08002B2CF9AE}" pid="22" name="Mendeley Recent Style Name 9_1">
    <vt:lpwstr>Social Cognitive and Affective Neuroscience</vt:lpwstr>
  </property>
  <property fmtid="{D5CDD505-2E9C-101B-9397-08002B2CF9AE}" pid="23" name="Mendeley Document_1">
    <vt:lpwstr>True</vt:lpwstr>
  </property>
  <property fmtid="{D5CDD505-2E9C-101B-9397-08002B2CF9AE}" pid="24" name="Mendeley Unique User Id_1">
    <vt:lpwstr>c9504d8c-132d-3c5e-a26d-ce60e6696423</vt:lpwstr>
  </property>
  <property fmtid="{D5CDD505-2E9C-101B-9397-08002B2CF9AE}" pid="25" name="Mendeley Citation Style_1">
    <vt:lpwstr>http://www.zotero.org/styles/apa</vt:lpwstr>
  </property>
</Properties>
</file>